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74"/>
        <w:ind w:left="117" w:right="0" w:firstLine="0"/>
        <w:jc w:val="left"/>
        <w:rPr>
          <w:rFonts w:ascii="Times New Roman" w:hAnsi="Times New Roman"/>
          <w:b/>
          <w:sz w:val="28"/>
        </w:rPr>
      </w:pPr>
      <w:r>
        <w:rPr>
          <w:rFonts w:ascii="Times New Roman" w:hAnsi="Times New Roman"/>
          <w:b/>
          <w:color w:val="231F20"/>
          <w:sz w:val="28"/>
        </w:rPr>
        <w:t>GF—1999—0501</w:t>
      </w:r>
    </w:p>
    <w:p>
      <w:pPr>
        <w:pStyle w:val="BodyText"/>
        <w:spacing w:before="0"/>
        <w:ind w:left="0"/>
        <w:rPr>
          <w:rFonts w:ascii="Times New Roman"/>
          <w:b/>
          <w:sz w:val="20"/>
        </w:rPr>
      </w:pPr>
    </w:p>
    <w:p>
      <w:pPr>
        <w:pStyle w:val="BodyText"/>
        <w:spacing w:before="8"/>
        <w:ind w:left="0"/>
        <w:rPr>
          <w:rFonts w:ascii="Times New Roman"/>
          <w:b/>
          <w:sz w:val="27"/>
        </w:rPr>
      </w:pPr>
    </w:p>
    <w:p>
      <w:pPr>
        <w:spacing w:line="577" w:lineRule="exact" w:before="0"/>
        <w:ind w:left="3236" w:right="3334" w:firstLine="0"/>
        <w:jc w:val="center"/>
        <w:rPr>
          <w:rFonts w:ascii="方正小标宋_GBK" w:eastAsia="方正小标宋_GBK" w:hint="eastAsia"/>
          <w:sz w:val="40"/>
        </w:rPr>
      </w:pPr>
      <w:r>
        <w:rPr>
          <w:rFonts w:ascii="方正小标宋_GBK" w:eastAsia="方正小标宋_GBK" w:hint="eastAsia"/>
          <w:color w:val="231F20"/>
          <w:sz w:val="40"/>
        </w:rPr>
        <w:t>城市供用水合同</w:t>
      </w:r>
    </w:p>
    <w:p>
      <w:pPr>
        <w:spacing w:before="152"/>
        <w:ind w:left="3236" w:right="3334" w:firstLine="0"/>
        <w:jc w:val="center"/>
        <w:rPr>
          <w:rFonts w:ascii="方正楷体_GBK" w:eastAsia="方正楷体_GBK" w:hint="eastAsia"/>
          <w:sz w:val="28"/>
        </w:rPr>
      </w:pPr>
      <w:r>
        <w:rPr>
          <w:rFonts w:ascii="方正楷体_GBK" w:eastAsia="方正楷体_GBK" w:hint="eastAsia"/>
          <w:color w:val="231F20"/>
          <w:sz w:val="28"/>
        </w:rPr>
        <w:t>（示范文本）</w:t>
      </w:r>
    </w:p>
    <w:p>
      <w:pPr>
        <w:pStyle w:val="BodyText"/>
        <w:spacing w:before="3"/>
        <w:ind w:left="0"/>
        <w:rPr>
          <w:rFonts w:ascii="方正楷体_GBK"/>
          <w:sz w:val="29"/>
        </w:rPr>
      </w:pPr>
    </w:p>
    <w:p>
      <w:pPr>
        <w:spacing w:after="0"/>
        <w:rPr>
          <w:rFonts w:ascii="方正楷体_GBK"/>
          <w:sz w:val="29"/>
        </w:rPr>
        <w:sectPr>
          <w:footerReference w:type="default" r:id="rId5"/>
          <w:footerReference w:type="even" r:id="rId6"/>
          <w:type w:val="continuous"/>
          <w:pgSz w:w="11910" w:h="16840"/>
          <w:pgMar w:footer="832" w:top="1580" w:bottom="1020" w:left="1300" w:right="1200"/>
          <w:pgNumType w:start="1"/>
        </w:sectPr>
      </w:pPr>
    </w:p>
    <w:p>
      <w:pPr>
        <w:pStyle w:val="BodyText"/>
        <w:spacing w:before="0"/>
        <w:ind w:left="0"/>
        <w:rPr>
          <w:rFonts w:ascii="方正楷体_GBK"/>
          <w:sz w:val="24"/>
        </w:rPr>
      </w:pPr>
    </w:p>
    <w:p>
      <w:pPr>
        <w:pStyle w:val="BodyText"/>
        <w:spacing w:before="0"/>
        <w:ind w:left="0"/>
        <w:rPr>
          <w:rFonts w:ascii="方正楷体_GBK"/>
          <w:sz w:val="24"/>
        </w:rPr>
      </w:pPr>
    </w:p>
    <w:p>
      <w:pPr>
        <w:pStyle w:val="BodyText"/>
        <w:spacing w:before="0"/>
        <w:ind w:left="0"/>
        <w:rPr>
          <w:rFonts w:ascii="方正楷体_GBK"/>
          <w:sz w:val="24"/>
        </w:rPr>
      </w:pPr>
    </w:p>
    <w:p>
      <w:pPr>
        <w:pStyle w:val="BodyText"/>
        <w:spacing w:before="3"/>
        <w:ind w:left="0"/>
        <w:rPr>
          <w:rFonts w:ascii="方正楷体_GBK"/>
          <w:sz w:val="18"/>
        </w:rPr>
      </w:pPr>
    </w:p>
    <w:p>
      <w:pPr>
        <w:pStyle w:val="BodyText"/>
        <w:tabs>
          <w:tab w:pos="4902" w:val="left" w:leader="none"/>
        </w:tabs>
        <w:spacing w:line="304" w:lineRule="auto" w:before="0"/>
        <w:ind w:left="557"/>
      </w:pPr>
      <w:r>
        <w:rPr>
          <w:color w:val="231F20"/>
        </w:rPr>
        <w:t>供水人</w:t>
      </w:r>
      <w:r>
        <w:rPr>
          <w:color w:val="231F20"/>
          <w:u w:val="single" w:color="231F20"/>
        </w:rPr>
        <w:t>：</w:t>
        <w:tab/>
        <w:t> </w:t>
      </w:r>
      <w:r>
        <w:rPr>
          <w:color w:val="231F20"/>
        </w:rPr>
        <w:t>用水人</w:t>
      </w:r>
      <w:r>
        <w:rPr>
          <w:color w:val="231F20"/>
          <w:u w:val="single" w:color="231F20"/>
        </w:rPr>
        <w:t>：</w:t>
        <w:tab/>
      </w:r>
    </w:p>
    <w:p>
      <w:pPr>
        <w:pStyle w:val="BodyText"/>
        <w:tabs>
          <w:tab w:pos="3362" w:val="left" w:leader="none"/>
        </w:tabs>
        <w:spacing w:line="304" w:lineRule="auto" w:before="22"/>
        <w:ind w:left="557" w:right="541"/>
        <w:jc w:val="both"/>
      </w:pPr>
      <w:r>
        <w:rPr/>
        <w:br w:type="column"/>
      </w:r>
      <w:r>
        <w:rPr>
          <w:color w:val="231F20"/>
        </w:rPr>
        <w:t>合同编号</w:t>
      </w:r>
      <w:r>
        <w:rPr>
          <w:color w:val="231F20"/>
          <w:u w:val="single" w:color="231F20"/>
        </w:rPr>
        <w:t>：</w:t>
        <w:tab/>
        <w:t> </w:t>
      </w:r>
      <w:r>
        <w:rPr>
          <w:color w:val="231F20"/>
        </w:rPr>
        <w:t>签约地点</w:t>
      </w:r>
      <w:r>
        <w:rPr>
          <w:color w:val="231F20"/>
          <w:u w:val="single" w:color="231F20"/>
        </w:rPr>
        <w:t>：</w:t>
        <w:tab/>
        <w:t> </w:t>
      </w:r>
      <w:r>
        <w:rPr>
          <w:color w:val="231F20"/>
        </w:rPr>
        <w:t>签约时间</w:t>
      </w:r>
      <w:r>
        <w:rPr>
          <w:color w:val="231F20"/>
          <w:u w:val="single" w:color="231F20"/>
        </w:rPr>
        <w:t>：</w:t>
        <w:tab/>
      </w:r>
    </w:p>
    <w:p>
      <w:pPr>
        <w:spacing w:after="0" w:line="304" w:lineRule="auto"/>
        <w:jc w:val="both"/>
        <w:sectPr>
          <w:type w:val="continuous"/>
          <w:pgSz w:w="11910" w:h="16840"/>
          <w:pgMar w:top="1580" w:bottom="1020" w:left="1300" w:right="1200"/>
          <w:cols w:num="2" w:equalWidth="0">
            <w:col w:w="4903" w:space="597"/>
            <w:col w:w="3910"/>
          </w:cols>
        </w:sectPr>
      </w:pPr>
    </w:p>
    <w:p>
      <w:pPr>
        <w:pStyle w:val="BodyText"/>
        <w:spacing w:before="12"/>
        <w:ind w:left="0"/>
        <w:rPr>
          <w:sz w:val="27"/>
        </w:rPr>
      </w:pPr>
    </w:p>
    <w:p>
      <w:pPr>
        <w:pStyle w:val="BodyText"/>
        <w:spacing w:line="304" w:lineRule="auto" w:before="22"/>
        <w:ind w:right="211" w:firstLine="440"/>
        <w:jc w:val="both"/>
      </w:pPr>
      <w:r>
        <w:rPr>
          <w:color w:val="231F20"/>
        </w:rPr>
        <w:t>为了明确供水人和用水人在水的供应和使用中的权利和义务，根据《中华人民共和国合同</w:t>
      </w:r>
      <w:r>
        <w:rPr>
          <w:color w:val="231F20"/>
          <w:spacing w:val="-16"/>
        </w:rPr>
        <w:t>法》、《城市供水条例》等有关法律，法规，和规章经供用水双方协商，订立本合同，以便共同遵守。</w:t>
      </w:r>
    </w:p>
    <w:p>
      <w:pPr>
        <w:pStyle w:val="BodyText"/>
        <w:tabs>
          <w:tab w:pos="1437" w:val="left" w:leader="none"/>
        </w:tabs>
        <w:spacing w:before="14"/>
        <w:ind w:left="557"/>
        <w:rPr>
          <w:rFonts w:ascii="方正黑体_GBK" w:eastAsia="方正黑体_GBK" w:hint="eastAsia"/>
        </w:rPr>
      </w:pPr>
      <w:r>
        <w:rPr>
          <w:rFonts w:ascii="方正黑体_GBK" w:eastAsia="方正黑体_GBK" w:hint="eastAsia"/>
          <w:color w:val="231F20"/>
        </w:rPr>
        <w:t>第一条</w:t>
        <w:tab/>
        <w:t>用水地址、用水性质和用水量</w:t>
      </w:r>
    </w:p>
    <w:p>
      <w:pPr>
        <w:pStyle w:val="BodyText"/>
        <w:tabs>
          <w:tab w:pos="3417" w:val="left" w:leader="none"/>
          <w:tab w:pos="5783" w:val="left" w:leader="none"/>
        </w:tabs>
        <w:spacing w:line="304" w:lineRule="auto" w:before="102"/>
        <w:ind w:right="214" w:firstLine="330"/>
      </w:pPr>
      <w:r>
        <w:rPr>
          <w:color w:val="231F20"/>
          <w:spacing w:val="6"/>
        </w:rPr>
        <w:t>（一）用水地址</w:t>
      </w:r>
      <w:r>
        <w:rPr>
          <w:color w:val="231F20"/>
        </w:rPr>
        <w:t>为</w:t>
      </w:r>
      <w:r>
        <w:rPr>
          <w:color w:val="231F20"/>
          <w:u w:val="single" w:color="231F20"/>
        </w:rPr>
        <w:t> </w:t>
        <w:tab/>
        <w:tab/>
      </w:r>
      <w:r>
        <w:rPr>
          <w:color w:val="231F20"/>
          <w:spacing w:val="6"/>
        </w:rPr>
        <w:t>。用水四至范</w:t>
      </w:r>
      <w:r>
        <w:rPr>
          <w:color w:val="231F20"/>
        </w:rPr>
        <w:t>围</w:t>
      </w:r>
      <w:r>
        <w:rPr>
          <w:color w:val="231F20"/>
          <w:spacing w:val="6"/>
        </w:rPr>
        <w:t>（即用水人用水</w:t>
      </w:r>
      <w:r>
        <w:rPr>
          <w:color w:val="231F20"/>
        </w:rPr>
        <w:t>区 域四周边界</w:t>
      </w:r>
      <w:r>
        <w:rPr>
          <w:color w:val="231F20"/>
          <w:spacing w:val="-110"/>
        </w:rPr>
        <w:t>）</w:t>
      </w:r>
      <w:r>
        <w:rPr>
          <w:color w:val="231F20"/>
        </w:rPr>
        <w:t>，是</w:t>
      </w:r>
      <w:r>
        <w:rPr>
          <w:rFonts w:ascii="Times New Roman" w:eastAsia="Times New Roman"/>
          <w:color w:val="231F20"/>
          <w:u w:val="single" w:color="231F20"/>
        </w:rPr>
        <w:t> </w:t>
        <w:tab/>
      </w:r>
      <w:r>
        <w:rPr>
          <w:color w:val="231F20"/>
          <w:u w:val="single" w:color="231F20"/>
        </w:rPr>
        <w:t>（</w:t>
      </w:r>
      <w:r>
        <w:rPr>
          <w:color w:val="231F20"/>
        </w:rPr>
        <w:t>可制订详图作为附件）</w:t>
      </w:r>
    </w:p>
    <w:p>
      <w:pPr>
        <w:pStyle w:val="BodyText"/>
        <w:tabs>
          <w:tab w:pos="3967" w:val="left" w:leader="none"/>
          <w:tab w:pos="6827" w:val="left" w:leader="none"/>
        </w:tabs>
        <w:spacing w:before="21"/>
        <w:ind w:left="447"/>
      </w:pPr>
      <w:r>
        <w:rPr>
          <w:color w:val="231F20"/>
        </w:rPr>
        <w:t>（二）用水性质系</w:t>
      </w:r>
      <w:r>
        <w:rPr>
          <w:color w:val="231F20"/>
          <w:u w:val="single" w:color="231F20"/>
        </w:rPr>
        <w:t> </w:t>
        <w:tab/>
      </w:r>
      <w:r>
        <w:rPr>
          <w:color w:val="231F20"/>
        </w:rPr>
        <w:t>用水，执行</w:t>
      </w:r>
      <w:r>
        <w:rPr>
          <w:color w:val="231F20"/>
          <w:u w:val="single" w:color="231F20"/>
        </w:rPr>
        <w:t> </w:t>
        <w:tab/>
      </w:r>
      <w:r>
        <w:rPr>
          <w:color w:val="231F20"/>
        </w:rPr>
        <w:t>供水价格。</w:t>
      </w:r>
    </w:p>
    <w:p>
      <w:pPr>
        <w:pStyle w:val="BodyText"/>
        <w:tabs>
          <w:tab w:pos="3747" w:val="left" w:leader="none"/>
          <w:tab w:pos="6552" w:val="left" w:leader="none"/>
        </w:tabs>
        <w:ind w:left="447"/>
      </w:pPr>
      <w:r>
        <w:rPr>
          <w:color w:val="231F20"/>
        </w:rPr>
        <w:t>（三）用水量为</w:t>
      </w:r>
      <w:r>
        <w:rPr>
          <w:color w:val="231F20"/>
          <w:u w:val="single" w:color="231F20"/>
        </w:rPr>
        <w:t> </w:t>
        <w:tab/>
      </w:r>
      <w:r>
        <w:rPr>
          <w:color w:val="231F20"/>
        </w:rPr>
        <w:t>立方米／日</w:t>
      </w:r>
      <w:r>
        <w:rPr>
          <w:color w:val="231F20"/>
          <w:u w:val="single" w:color="231F20"/>
        </w:rPr>
        <w:t>；</w:t>
        <w:tab/>
      </w:r>
      <w:r>
        <w:rPr>
          <w:color w:val="231F20"/>
        </w:rPr>
        <w:t>立方米／月。</w:t>
      </w:r>
    </w:p>
    <w:p>
      <w:pPr>
        <w:pStyle w:val="BodyText"/>
        <w:tabs>
          <w:tab w:pos="5122" w:val="left" w:leader="none"/>
        </w:tabs>
        <w:ind w:left="447"/>
      </w:pPr>
      <w:r>
        <w:rPr>
          <w:color w:val="231F20"/>
        </w:rPr>
        <w:t>（四）计费总水表安装地点为</w:t>
      </w:r>
      <w:r>
        <w:rPr>
          <w:color w:val="231F20"/>
          <w:u w:val="single" w:color="231F20"/>
        </w:rPr>
        <w:t>：</w:t>
        <w:tab/>
        <w:t>（</w:t>
      </w:r>
      <w:r>
        <w:rPr>
          <w:color w:val="231F20"/>
        </w:rPr>
        <w:t>可制订详图作为附件</w:t>
      </w:r>
      <w:r>
        <w:rPr>
          <w:color w:val="231F20"/>
          <w:spacing w:val="-83"/>
        </w:rPr>
        <w:t>）</w:t>
      </w:r>
      <w:r>
        <w:rPr>
          <w:color w:val="231F20"/>
        </w:rPr>
        <w:t>。</w:t>
      </w:r>
    </w:p>
    <w:p>
      <w:pPr>
        <w:pStyle w:val="BodyText"/>
        <w:tabs>
          <w:tab w:pos="4627" w:val="left" w:leader="none"/>
          <w:tab w:pos="7707" w:val="left" w:leader="none"/>
        </w:tabs>
        <w:ind w:left="447"/>
      </w:pPr>
      <w:r>
        <w:rPr>
          <w:color w:val="231F20"/>
        </w:rPr>
        <w:t>（五）安装计费总水表共</w:t>
      </w:r>
      <w:r>
        <w:rPr>
          <w:color w:val="231F20"/>
          <w:u w:val="single" w:color="231F20"/>
        </w:rPr>
        <w:t> </w:t>
        <w:tab/>
      </w:r>
      <w:r>
        <w:rPr>
          <w:color w:val="231F20"/>
        </w:rPr>
        <w:t>具，注册号为</w:t>
      </w:r>
      <w:r>
        <w:rPr>
          <w:color w:val="231F20"/>
          <w:u w:val="single" w:color="231F20"/>
        </w:rPr>
        <w:t> </w:t>
        <w:tab/>
      </w:r>
      <w:r>
        <w:rPr>
          <w:color w:val="231F20"/>
        </w:rPr>
        <w:t>。</w:t>
      </w:r>
    </w:p>
    <w:p>
      <w:pPr>
        <w:pStyle w:val="BodyText"/>
        <w:tabs>
          <w:tab w:pos="1437" w:val="left" w:leader="none"/>
        </w:tabs>
        <w:spacing w:before="83"/>
        <w:ind w:left="557"/>
        <w:rPr>
          <w:rFonts w:ascii="方正黑体_GBK" w:eastAsia="方正黑体_GBK" w:hint="eastAsia"/>
        </w:rPr>
      </w:pPr>
      <w:r>
        <w:rPr>
          <w:rFonts w:ascii="方正黑体_GBK" w:eastAsia="方正黑体_GBK" w:hint="eastAsia"/>
          <w:color w:val="231F20"/>
        </w:rPr>
        <w:t>第二条</w:t>
        <w:tab/>
        <w:t>供水方式和质量</w:t>
      </w:r>
    </w:p>
    <w:p>
      <w:pPr>
        <w:pStyle w:val="BodyText"/>
        <w:spacing w:line="304" w:lineRule="auto" w:before="102"/>
        <w:ind w:right="214" w:firstLine="330"/>
      </w:pPr>
      <w:r>
        <w:rPr>
          <w:color w:val="231F20"/>
        </w:rPr>
        <w:t>（一）在合同有效期内，供水人通过城市公共供水管网及附属设施向用水人提供不间断供水。</w:t>
      </w:r>
    </w:p>
    <w:p>
      <w:pPr>
        <w:pStyle w:val="BodyText"/>
        <w:spacing w:line="304" w:lineRule="auto" w:before="21"/>
        <w:ind w:right="214" w:firstLine="330"/>
      </w:pPr>
      <w:r>
        <w:rPr>
          <w:color w:val="231F20"/>
        </w:rPr>
        <w:t>（二）用水人不能间断用水或者对水压，水质有特殊要求的，应当自行设置贮水、间接加压设施及水处理设备。</w:t>
      </w:r>
    </w:p>
    <w:p>
      <w:pPr>
        <w:pStyle w:val="BodyText"/>
        <w:spacing w:before="21"/>
        <w:ind w:left="447"/>
      </w:pPr>
      <w:r>
        <w:rPr>
          <w:color w:val="231F20"/>
        </w:rPr>
        <w:t>（三）供水人保证城市公共供水管网水质符合国家《生活饮用水卫生标准》。</w:t>
      </w:r>
    </w:p>
    <w:p>
      <w:pPr>
        <w:pStyle w:val="BodyText"/>
        <w:tabs>
          <w:tab w:pos="6057" w:val="left" w:leader="none"/>
          <w:tab w:pos="6978" w:val="left" w:leader="none"/>
        </w:tabs>
        <w:spacing w:line="304" w:lineRule="auto"/>
        <w:ind w:right="207" w:firstLine="330"/>
      </w:pPr>
      <w:r>
        <w:rPr>
          <w:color w:val="231F20"/>
          <w:spacing w:val="5"/>
        </w:rPr>
        <w:t>（四）供水人保证在计费总水表处的水压大于等</w:t>
      </w:r>
      <w:r>
        <w:rPr>
          <w:color w:val="231F20"/>
        </w:rPr>
        <w:t>于</w:t>
      </w:r>
      <w:r>
        <w:rPr>
          <w:color w:val="231F20"/>
          <w:u w:val="single" w:color="231F20"/>
        </w:rPr>
        <w:t> </w:t>
        <w:tab/>
        <w:tab/>
      </w:r>
      <w:r>
        <w:rPr>
          <w:color w:val="231F20"/>
          <w:spacing w:val="5"/>
        </w:rPr>
        <w:t>兆</w:t>
      </w:r>
      <w:r>
        <w:rPr>
          <w:color w:val="231F20"/>
        </w:rPr>
        <w:t>帕</w:t>
      </w:r>
      <w:r>
        <w:rPr>
          <w:color w:val="231F20"/>
          <w:spacing w:val="-48"/>
        </w:rPr>
        <w:t>；</w:t>
      </w:r>
      <w:r>
        <w:rPr>
          <w:color w:val="231F20"/>
          <w:spacing w:val="5"/>
        </w:rPr>
        <w:t>以户表方式计费 </w:t>
      </w:r>
      <w:r>
        <w:rPr>
          <w:color w:val="231F20"/>
        </w:rPr>
        <w:t>的，保证进入建筑物前阀门处的水压大于等于</w:t>
      </w:r>
      <w:r>
        <w:rPr>
          <w:color w:val="231F20"/>
          <w:u w:val="single" w:color="231F20"/>
        </w:rPr>
        <w:t> </w:t>
        <w:tab/>
      </w:r>
      <w:r>
        <w:rPr>
          <w:color w:val="231F20"/>
        </w:rPr>
        <w:t>兆帕。</w:t>
      </w:r>
    </w:p>
    <w:p>
      <w:pPr>
        <w:pStyle w:val="BodyText"/>
        <w:tabs>
          <w:tab w:pos="1437" w:val="left" w:leader="none"/>
        </w:tabs>
        <w:spacing w:before="15"/>
        <w:ind w:left="557"/>
        <w:rPr>
          <w:rFonts w:ascii="方正黑体_GBK" w:eastAsia="方正黑体_GBK" w:hint="eastAsia"/>
        </w:rPr>
      </w:pPr>
      <w:r>
        <w:rPr>
          <w:rFonts w:ascii="方正黑体_GBK" w:eastAsia="方正黑体_GBK" w:hint="eastAsia"/>
          <w:color w:val="231F20"/>
        </w:rPr>
        <w:t>第三条</w:t>
        <w:tab/>
        <w:t>用水计量、水价及水费结算方式</w:t>
      </w:r>
    </w:p>
    <w:p>
      <w:pPr>
        <w:pStyle w:val="BodyText"/>
        <w:spacing w:before="102"/>
        <w:ind w:left="447"/>
      </w:pPr>
      <w:r>
        <w:rPr>
          <w:color w:val="231F20"/>
        </w:rPr>
        <w:t>（一）用水计量</w:t>
      </w:r>
    </w:p>
    <w:p>
      <w:pPr>
        <w:pStyle w:val="BodyText"/>
        <w:tabs>
          <w:tab w:pos="3952" w:val="left" w:leader="none"/>
          <w:tab w:pos="6134" w:val="left" w:leader="none"/>
          <w:tab w:pos="9078" w:val="left" w:leader="none"/>
        </w:tabs>
        <w:ind w:left="557"/>
      </w:pPr>
      <w:r>
        <w:rPr>
          <w:color w:val="231F20"/>
        </w:rPr>
        <w:t>1.</w:t>
      </w:r>
      <w:r>
        <w:rPr>
          <w:color w:val="231F20"/>
          <w:spacing w:val="5"/>
        </w:rPr>
        <w:t> </w:t>
      </w:r>
      <w:r>
        <w:rPr>
          <w:color w:val="231F20"/>
          <w:spacing w:val="16"/>
        </w:rPr>
        <w:t>用水的计量器具</w:t>
      </w:r>
      <w:r>
        <w:rPr>
          <w:color w:val="231F20"/>
        </w:rPr>
        <w:t>为：</w:t>
        <w:tab/>
      </w:r>
      <w:r>
        <w:rPr>
          <w:color w:val="231F20"/>
          <w:spacing w:val="16"/>
        </w:rPr>
        <w:t>计量</w:t>
      </w:r>
      <w:r>
        <w:rPr>
          <w:color w:val="231F20"/>
        </w:rPr>
        <w:t>表；</w:t>
        <w:tab/>
        <w:t>IC</w:t>
      </w:r>
      <w:r>
        <w:rPr>
          <w:color w:val="231F20"/>
          <w:spacing w:val="5"/>
        </w:rPr>
        <w:t> </w:t>
      </w:r>
      <w:r>
        <w:rPr>
          <w:color w:val="231F20"/>
          <w:spacing w:val="16"/>
        </w:rPr>
        <w:t>卡计量</w:t>
      </w:r>
      <w:r>
        <w:rPr>
          <w:color w:val="231F20"/>
        </w:rPr>
        <w:t>表</w:t>
      </w:r>
      <w:r>
        <w:rPr>
          <w:color w:val="231F20"/>
          <w:spacing w:val="-37"/>
        </w:rPr>
        <w:t>；</w:t>
      </w:r>
      <w:r>
        <w:rPr>
          <w:color w:val="231F20"/>
          <w:spacing w:val="16"/>
        </w:rPr>
        <w:t>或</w:t>
      </w:r>
      <w:r>
        <w:rPr>
          <w:color w:val="231F20"/>
        </w:rPr>
        <w:t>者</w:t>
      </w:r>
      <w:r>
        <w:rPr>
          <w:color w:val="231F20"/>
          <w:u w:val="single" w:color="231F20"/>
        </w:rPr>
        <w:t> </w:t>
        <w:tab/>
      </w:r>
      <w:r>
        <w:rPr>
          <w:color w:val="231F20"/>
        </w:rPr>
        <w:t>。</w:t>
      </w:r>
    </w:p>
    <w:p>
      <w:pPr>
        <w:spacing w:after="0"/>
        <w:sectPr>
          <w:type w:val="continuous"/>
          <w:pgSz w:w="11910" w:h="16840"/>
          <w:pgMar w:top="1580" w:bottom="1020" w:left="1300" w:right="1200"/>
        </w:sectPr>
      </w:pPr>
    </w:p>
    <w:p>
      <w:pPr>
        <w:pStyle w:val="BodyText"/>
        <w:spacing w:line="304" w:lineRule="auto" w:before="24"/>
        <w:ind w:right="214"/>
      </w:pPr>
      <w:r>
        <w:rPr>
          <w:color w:val="231F20"/>
        </w:rPr>
        <w:t>安装时应当登记注册。供、用水双方按照注册登记的计量水表计量的水量作为水费结算的依据。</w:t>
      </w:r>
    </w:p>
    <w:p>
      <w:pPr>
        <w:pStyle w:val="BodyText"/>
        <w:spacing w:before="21"/>
        <w:ind w:left="557"/>
      </w:pPr>
      <w:r>
        <w:rPr>
          <w:color w:val="231F20"/>
        </w:rPr>
        <w:t>结算用计量器须经当地技术监督部门检定、认定。</w:t>
      </w:r>
    </w:p>
    <w:p>
      <w:pPr>
        <w:pStyle w:val="BodyText"/>
        <w:spacing w:line="304" w:lineRule="auto"/>
        <w:ind w:right="214" w:firstLine="440"/>
      </w:pPr>
      <w:r>
        <w:rPr>
          <w:color w:val="231F20"/>
          <w:spacing w:val="2"/>
        </w:rPr>
        <w:t>2</w:t>
      </w:r>
      <w:r>
        <w:rPr>
          <w:color w:val="231F20"/>
          <w:spacing w:val="0"/>
        </w:rPr>
        <w:t>．用水人用水按照用水性质实行分类计量。不同用水性质的用水共用一具计费水表时， 供水人按照最高类别水价计收水费或者按照比例划分不同用水性质用水量分类计收水费。</w:t>
      </w:r>
    </w:p>
    <w:p>
      <w:pPr>
        <w:pStyle w:val="BodyText"/>
        <w:tabs>
          <w:tab w:pos="8726" w:val="left" w:leader="none"/>
        </w:tabs>
        <w:spacing w:before="20"/>
        <w:ind w:left="447"/>
      </w:pPr>
      <w:r>
        <w:rPr>
          <w:color w:val="231F20"/>
          <w:spacing w:val="10"/>
        </w:rPr>
        <w:t>（二）供水价</w:t>
      </w:r>
      <w:r>
        <w:rPr>
          <w:color w:val="231F20"/>
        </w:rPr>
        <w:t>格</w:t>
      </w:r>
      <w:r>
        <w:rPr>
          <w:color w:val="231F20"/>
          <w:spacing w:val="-45"/>
        </w:rPr>
        <w:t>：</w:t>
      </w:r>
      <w:r>
        <w:rPr>
          <w:color w:val="231F20"/>
          <w:spacing w:val="10"/>
        </w:rPr>
        <w:t>供水人依据用水人用水性</w:t>
      </w:r>
      <w:r>
        <w:rPr>
          <w:color w:val="231F20"/>
        </w:rPr>
        <w:t>质</w:t>
      </w:r>
      <w:r>
        <w:rPr>
          <w:color w:val="231F20"/>
          <w:spacing w:val="10"/>
        </w:rPr>
        <w:t>，按</w:t>
      </w:r>
      <w:r>
        <w:rPr>
          <w:color w:val="231F20"/>
        </w:rPr>
        <w:t>照</w:t>
      </w:r>
      <w:r>
        <w:rPr>
          <w:color w:val="231F20"/>
          <w:u w:val="single" w:color="231F20"/>
        </w:rPr>
        <w:t> </w:t>
        <w:tab/>
      </w:r>
      <w:r>
        <w:rPr>
          <w:color w:val="231F20"/>
          <w:spacing w:val="10"/>
        </w:rPr>
        <w:t>政</w:t>
      </w:r>
      <w:r>
        <w:rPr>
          <w:color w:val="231F20"/>
        </w:rPr>
        <w:t>府</w:t>
      </w:r>
    </w:p>
    <w:p>
      <w:pPr>
        <w:pStyle w:val="BodyText"/>
        <w:tabs>
          <w:tab w:pos="1547" w:val="left" w:leader="none"/>
        </w:tabs>
        <w:spacing w:before="88"/>
      </w:pPr>
      <w:r>
        <w:rPr>
          <w:rFonts w:ascii="Times New Roman" w:eastAsia="Times New Roman"/>
          <w:color w:val="231F20"/>
          <w:u w:val="single" w:color="231F20"/>
        </w:rPr>
        <w:t> </w:t>
        <w:tab/>
      </w:r>
      <w:r>
        <w:rPr>
          <w:color w:val="231F20"/>
          <w:u w:val="single" w:color="231F20"/>
        </w:rPr>
        <w:t>（</w:t>
      </w:r>
      <w:r>
        <w:rPr>
          <w:color w:val="231F20"/>
        </w:rPr>
        <w:t>部门）批准的供水分类价格收取水费。</w:t>
      </w:r>
    </w:p>
    <w:p>
      <w:pPr>
        <w:pStyle w:val="BodyText"/>
        <w:spacing w:before="88"/>
        <w:ind w:left="557"/>
      </w:pPr>
      <w:r>
        <w:rPr>
          <w:color w:val="231F20"/>
        </w:rPr>
        <w:t>在合同有效期内，遇水价调整时，按照调价文件规定执行。</w:t>
      </w:r>
    </w:p>
    <w:p>
      <w:pPr>
        <w:pStyle w:val="BodyText"/>
        <w:spacing w:before="88"/>
        <w:ind w:left="447"/>
      </w:pPr>
      <w:r>
        <w:rPr>
          <w:color w:val="231F20"/>
        </w:rPr>
        <w:t>（三）水费结算方式</w:t>
      </w:r>
    </w:p>
    <w:p>
      <w:pPr>
        <w:pStyle w:val="ListParagraph"/>
        <w:numPr>
          <w:ilvl w:val="0"/>
          <w:numId w:val="1"/>
        </w:numPr>
        <w:tabs>
          <w:tab w:pos="776" w:val="left" w:leader="none"/>
          <w:tab w:pos="6495" w:val="left" w:leader="none"/>
          <w:tab w:pos="7595" w:val="left" w:leader="none"/>
        </w:tabs>
        <w:spacing w:line="240" w:lineRule="auto" w:before="88" w:after="0"/>
        <w:ind w:left="775" w:right="0" w:hanging="218"/>
        <w:jc w:val="left"/>
        <w:rPr>
          <w:sz w:val="22"/>
        </w:rPr>
      </w:pPr>
      <w:r>
        <w:rPr>
          <w:color w:val="231F20"/>
          <w:sz w:val="22"/>
        </w:rPr>
        <w:t>供水人按照规定周期抄验表并结算水费，用水人在</w:t>
      </w:r>
      <w:r>
        <w:rPr>
          <w:color w:val="231F20"/>
          <w:sz w:val="22"/>
          <w:u w:val="single" w:color="231F20"/>
        </w:rPr>
        <w:t> </w:t>
        <w:tab/>
      </w:r>
      <w:r>
        <w:rPr>
          <w:color w:val="231F20"/>
          <w:sz w:val="22"/>
        </w:rPr>
        <w:t>月</w:t>
      </w:r>
      <w:r>
        <w:rPr>
          <w:color w:val="231F20"/>
          <w:sz w:val="22"/>
          <w:u w:val="single" w:color="231F20"/>
        </w:rPr>
        <w:t> </w:t>
        <w:tab/>
      </w:r>
      <w:r>
        <w:rPr>
          <w:color w:val="231F20"/>
          <w:sz w:val="22"/>
        </w:rPr>
        <w:t>日前交清水费。</w:t>
      </w:r>
    </w:p>
    <w:p>
      <w:pPr>
        <w:pStyle w:val="ListParagraph"/>
        <w:numPr>
          <w:ilvl w:val="0"/>
          <w:numId w:val="1"/>
        </w:numPr>
        <w:tabs>
          <w:tab w:pos="776" w:val="left" w:leader="none"/>
          <w:tab w:pos="3029" w:val="left" w:leader="none"/>
        </w:tabs>
        <w:spacing w:line="240" w:lineRule="auto" w:before="88" w:after="0"/>
        <w:ind w:left="775" w:right="0" w:hanging="218"/>
        <w:jc w:val="left"/>
        <w:rPr>
          <w:sz w:val="22"/>
        </w:rPr>
      </w:pPr>
      <w:r>
        <w:rPr>
          <w:color w:val="231F20"/>
          <w:sz w:val="22"/>
        </w:rPr>
        <w:t>水费结算采</w:t>
      </w:r>
      <w:r>
        <w:rPr>
          <w:color w:val="231F20"/>
          <w:spacing w:val="52"/>
          <w:sz w:val="22"/>
        </w:rPr>
        <w:t>取</w:t>
      </w:r>
      <w:r>
        <w:rPr>
          <w:color w:val="231F20"/>
          <w:spacing w:val="52"/>
          <w:sz w:val="22"/>
          <w:u w:val="single" w:color="231F20"/>
        </w:rPr>
        <w:t> </w:t>
        <w:tab/>
      </w:r>
      <w:r>
        <w:rPr>
          <w:color w:val="231F20"/>
          <w:sz w:val="22"/>
        </w:rPr>
        <w:t>方式。</w:t>
      </w:r>
    </w:p>
    <w:p>
      <w:pPr>
        <w:pStyle w:val="BodyText"/>
        <w:tabs>
          <w:tab w:pos="1437" w:val="left" w:leader="none"/>
        </w:tabs>
        <w:spacing w:before="82"/>
        <w:ind w:left="557"/>
        <w:rPr>
          <w:rFonts w:ascii="方正黑体_GBK" w:eastAsia="方正黑体_GBK" w:hint="eastAsia"/>
        </w:rPr>
      </w:pPr>
      <w:r>
        <w:rPr>
          <w:rFonts w:ascii="方正黑体_GBK" w:eastAsia="方正黑体_GBK" w:hint="eastAsia"/>
          <w:color w:val="231F20"/>
        </w:rPr>
        <w:t>第四条</w:t>
        <w:tab/>
        <w:t>供、用水设施产权分界与维护管理</w:t>
      </w:r>
    </w:p>
    <w:p>
      <w:pPr>
        <w:pStyle w:val="BodyText"/>
        <w:spacing w:line="304" w:lineRule="auto" w:before="101"/>
        <w:ind w:right="143" w:firstLine="330"/>
      </w:pPr>
      <w:r>
        <w:rPr>
          <w:color w:val="231F20"/>
        </w:rPr>
        <w:t>（一）供、用水设施产权分界点是：供水人设计安装的计费总水表处。以户表计费的为进入建筑物前阀门处。</w:t>
      </w:r>
    </w:p>
    <w:p>
      <w:pPr>
        <w:pStyle w:val="BodyText"/>
        <w:spacing w:line="304" w:lineRule="auto" w:before="20"/>
        <w:ind w:right="214" w:firstLine="330"/>
      </w:pPr>
      <w:r>
        <w:rPr>
          <w:color w:val="231F20"/>
        </w:rPr>
        <w:t>（二）产权分界点（含计费水表）水源侧的管道和附属设施由供水人负责维护管理。产权分界点另侧的管道及设施由用水人负责维护管理，或者有偿委托供水人维护管理。</w:t>
      </w:r>
    </w:p>
    <w:p>
      <w:pPr>
        <w:pStyle w:val="BodyText"/>
        <w:tabs>
          <w:tab w:pos="1437" w:val="left" w:leader="none"/>
        </w:tabs>
        <w:spacing w:before="14"/>
        <w:ind w:left="557"/>
        <w:rPr>
          <w:rFonts w:ascii="方正黑体_GBK" w:eastAsia="方正黑体_GBK" w:hint="eastAsia"/>
        </w:rPr>
      </w:pPr>
      <w:r>
        <w:rPr>
          <w:rFonts w:ascii="方正黑体_GBK" w:eastAsia="方正黑体_GBK" w:hint="eastAsia"/>
          <w:color w:val="231F20"/>
        </w:rPr>
        <w:t>第五条</w:t>
        <w:tab/>
        <w:t>供水人的权利和义务</w:t>
      </w:r>
    </w:p>
    <w:p>
      <w:pPr>
        <w:pStyle w:val="BodyText"/>
        <w:spacing w:before="101"/>
        <w:ind w:left="447"/>
      </w:pPr>
      <w:r>
        <w:rPr>
          <w:color w:val="231F20"/>
        </w:rPr>
        <w:t>（一）监督用水人按照合同约定的用水量、用水性质、用水四至范围用水。</w:t>
      </w:r>
    </w:p>
    <w:p>
      <w:pPr>
        <w:pStyle w:val="BodyText"/>
        <w:spacing w:before="88"/>
        <w:ind w:left="447"/>
      </w:pPr>
      <w:r>
        <w:rPr>
          <w:color w:val="231F20"/>
        </w:rPr>
        <w:t>（二）用水人逾期不缴纳水费，供水人有权从逾期之日起向用水人收取水费滞纳金。</w:t>
      </w:r>
    </w:p>
    <w:p>
      <w:pPr>
        <w:pStyle w:val="BodyText"/>
        <w:spacing w:line="304" w:lineRule="auto" w:before="88"/>
        <w:ind w:right="88" w:firstLine="330"/>
      </w:pPr>
      <w:r>
        <w:rPr>
          <w:color w:val="231F20"/>
        </w:rPr>
        <w:t>（三）用水人搬迁或者其他原因不再使用计费水表和供水设施，又没有办理过户手续的， 供水人有权拆除其计费水表和供水设施。</w:t>
      </w:r>
    </w:p>
    <w:p>
      <w:pPr>
        <w:pStyle w:val="BodyText"/>
        <w:tabs>
          <w:tab w:pos="1445" w:val="left" w:leader="none"/>
        </w:tabs>
        <w:spacing w:line="304" w:lineRule="auto" w:before="20"/>
        <w:ind w:right="208" w:firstLine="330"/>
        <w:jc w:val="both"/>
      </w:pPr>
      <w:r>
        <w:rPr>
          <w:color w:val="231F20"/>
          <w:spacing w:val="2"/>
        </w:rPr>
        <w:t>（四）因用水人表井占</w:t>
      </w:r>
      <w:r>
        <w:rPr>
          <w:color w:val="231F20"/>
        </w:rPr>
        <w:t>压</w:t>
      </w:r>
      <w:r>
        <w:rPr>
          <w:color w:val="231F20"/>
          <w:spacing w:val="2"/>
        </w:rPr>
        <w:t>、损坏及用水人责任等原因不能抄验水表</w:t>
      </w:r>
      <w:r>
        <w:rPr>
          <w:color w:val="231F20"/>
        </w:rPr>
        <w:t>时</w:t>
      </w:r>
      <w:r>
        <w:rPr>
          <w:color w:val="231F20"/>
          <w:spacing w:val="2"/>
        </w:rPr>
        <w:t>，供水人可根据用水</w:t>
      </w:r>
      <w:r>
        <w:rPr>
          <w:color w:val="231F20"/>
          <w:spacing w:val="5"/>
        </w:rPr>
        <w:t>人</w:t>
      </w:r>
      <w:r>
        <w:rPr>
          <w:color w:val="231F20"/>
        </w:rPr>
        <w:t>上</w:t>
      </w:r>
      <w:r>
        <w:rPr>
          <w:color w:val="231F20"/>
          <w:u w:val="single" w:color="231F20"/>
        </w:rPr>
        <w:t> </w:t>
        <w:tab/>
      </w:r>
      <w:r>
        <w:rPr>
          <w:color w:val="231F20"/>
          <w:spacing w:val="5"/>
        </w:rPr>
        <w:t>个月最高月用水量估算本期水量水</w:t>
      </w:r>
      <w:r>
        <w:rPr>
          <w:color w:val="231F20"/>
        </w:rPr>
        <w:t>费</w:t>
      </w:r>
      <w:r>
        <w:rPr>
          <w:color w:val="231F20"/>
          <w:spacing w:val="5"/>
        </w:rPr>
        <w:t>。如用水人三个月不能解决妨碍抄验表问 </w:t>
      </w:r>
      <w:r>
        <w:rPr>
          <w:color w:val="231F20"/>
        </w:rPr>
        <w:t>题，供水人不退还多估水费。</w:t>
      </w:r>
    </w:p>
    <w:p>
      <w:pPr>
        <w:pStyle w:val="BodyText"/>
        <w:spacing w:line="304" w:lineRule="auto" w:before="20"/>
        <w:ind w:right="88" w:firstLine="330"/>
      </w:pPr>
      <w:r>
        <w:rPr>
          <w:color w:val="231F20"/>
        </w:rPr>
        <w:t>（五）供水人应当按照合同约定的水质不间断供水。除高峰季节因供水能力不足，经城市供水行政主管部门同意被迫降压外，供水人应当按照合同规定的压力供水。对有计划的检修， 维修及新管并网作业施工造成的停水，应当提前 24 小时通知用水人。</w:t>
      </w:r>
    </w:p>
    <w:p>
      <w:pPr>
        <w:pStyle w:val="BodyText"/>
        <w:spacing w:line="304" w:lineRule="auto" w:before="20"/>
        <w:ind w:right="214" w:firstLine="330"/>
      </w:pPr>
      <w:r>
        <w:rPr>
          <w:color w:val="231F20"/>
        </w:rPr>
        <w:t>（六）供水人设立专门服务电话实行 24 小时昼夜受理用水人的报修。遇有供水管道及附属设施损坏的，供水人应当及时进入现场抢修。</w:t>
      </w:r>
    </w:p>
    <w:p>
      <w:pPr>
        <w:pStyle w:val="BodyText"/>
        <w:spacing w:before="20"/>
        <w:ind w:left="447"/>
      </w:pPr>
      <w:r>
        <w:rPr>
          <w:color w:val="231F20"/>
        </w:rPr>
        <w:t>（七）如供水人需要变更抄验水表和收费周期时，应当提前一个月通知用水人。</w:t>
      </w:r>
    </w:p>
    <w:p>
      <w:pPr>
        <w:pStyle w:val="BodyText"/>
        <w:tabs>
          <w:tab w:pos="6751" w:val="left" w:leader="none"/>
        </w:tabs>
        <w:spacing w:line="304" w:lineRule="auto" w:before="88"/>
        <w:ind w:right="213" w:firstLine="330"/>
        <w:jc w:val="both"/>
      </w:pPr>
      <w:r>
        <w:rPr>
          <w:color w:val="231F20"/>
          <w:spacing w:val="2"/>
        </w:rPr>
        <w:t>（八）对用水人提出的水表计量不</w:t>
      </w:r>
      <w:r>
        <w:rPr>
          <w:color w:val="231F20"/>
        </w:rPr>
        <w:t>准</w:t>
      </w:r>
      <w:r>
        <w:rPr>
          <w:color w:val="231F20"/>
          <w:spacing w:val="2"/>
        </w:rPr>
        <w:t>，供水人负责复核和校</w:t>
      </w:r>
      <w:r>
        <w:rPr>
          <w:color w:val="231F20"/>
        </w:rPr>
        <w:t>验</w:t>
      </w:r>
      <w:r>
        <w:rPr>
          <w:color w:val="231F20"/>
          <w:spacing w:val="2"/>
        </w:rPr>
        <w:t>。对水表因自然损坏造成的</w:t>
      </w:r>
      <w:r>
        <w:rPr>
          <w:color w:val="231F20"/>
        </w:rPr>
        <w:t>表停，表坏，供水人应当无偿更换，供水人可根据用水人上</w:t>
      </w:r>
      <w:r>
        <w:rPr>
          <w:color w:val="231F20"/>
          <w:u w:val="single" w:color="231F20"/>
        </w:rPr>
        <w:t> </w:t>
        <w:tab/>
      </w:r>
      <w:r>
        <w:rPr>
          <w:color w:val="231F20"/>
        </w:rPr>
        <w:t>个月平均用水量估算本期 水量水费。由于供水人抄错表，计费水表计量不准等原因多收的水费，应当予以退还。</w:t>
      </w:r>
    </w:p>
    <w:p>
      <w:pPr>
        <w:spacing w:after="0" w:line="304" w:lineRule="auto"/>
        <w:jc w:val="both"/>
        <w:sectPr>
          <w:pgSz w:w="11910" w:h="16840"/>
          <w:pgMar w:header="0" w:footer="832" w:top="1580" w:bottom="1020" w:left="1300" w:right="1200"/>
        </w:sectPr>
      </w:pPr>
    </w:p>
    <w:p>
      <w:pPr>
        <w:pStyle w:val="BodyText"/>
        <w:tabs>
          <w:tab w:pos="1437" w:val="left" w:leader="none"/>
        </w:tabs>
        <w:spacing w:before="18"/>
        <w:ind w:left="557"/>
        <w:rPr>
          <w:rFonts w:ascii="方正黑体_GBK" w:eastAsia="方正黑体_GBK" w:hint="eastAsia"/>
        </w:rPr>
      </w:pPr>
      <w:r>
        <w:rPr>
          <w:rFonts w:ascii="方正黑体_GBK" w:eastAsia="方正黑体_GBK" w:hint="eastAsia"/>
          <w:color w:val="231F20"/>
        </w:rPr>
        <w:t>第六条</w:t>
        <w:tab/>
        <w:t>用水人的权利和义务</w:t>
      </w:r>
    </w:p>
    <w:p>
      <w:pPr>
        <w:pStyle w:val="BodyText"/>
        <w:spacing w:before="102"/>
        <w:ind w:left="447"/>
      </w:pPr>
      <w:r>
        <w:rPr>
          <w:color w:val="231F20"/>
        </w:rPr>
        <w:t>（一）监督供水人按照合同约定的水压，水质向用水人供水。</w:t>
      </w:r>
    </w:p>
    <w:p>
      <w:pPr>
        <w:pStyle w:val="BodyText"/>
        <w:ind w:left="447"/>
      </w:pPr>
      <w:r>
        <w:rPr>
          <w:color w:val="231F20"/>
        </w:rPr>
        <w:t>（二）有权要求供水人按照国家的规定对计费水表进行周期检定。</w:t>
      </w:r>
    </w:p>
    <w:p>
      <w:pPr>
        <w:pStyle w:val="BodyText"/>
        <w:ind w:left="447"/>
      </w:pPr>
      <w:r>
        <w:rPr>
          <w:color w:val="231F20"/>
        </w:rPr>
        <w:t>（三）有权向供水人提出进行计费水表复核和校验。</w:t>
      </w:r>
    </w:p>
    <w:p>
      <w:pPr>
        <w:pStyle w:val="BodyText"/>
        <w:ind w:left="447"/>
      </w:pPr>
      <w:r>
        <w:rPr>
          <w:color w:val="231F20"/>
        </w:rPr>
        <w:t>（四）有权对供水人收缴的水费及确定的水价申请复核。</w:t>
      </w:r>
    </w:p>
    <w:p>
      <w:pPr>
        <w:pStyle w:val="BodyText"/>
        <w:ind w:left="447"/>
      </w:pPr>
      <w:r>
        <w:rPr>
          <w:color w:val="231F20"/>
        </w:rPr>
        <w:t>（五）应当按照合同约定按期向供水人交水费。</w:t>
      </w:r>
    </w:p>
    <w:p>
      <w:pPr>
        <w:pStyle w:val="BodyText"/>
        <w:spacing w:line="304" w:lineRule="auto"/>
        <w:ind w:right="163" w:firstLine="330"/>
      </w:pPr>
      <w:r>
        <w:rPr>
          <w:color w:val="231F20"/>
        </w:rPr>
        <w:t>（六）保证计费水表，表井（箱）及附属设施完好，配合供水人抄验表或者协助做好水表等设施的更换，维修工作。</w:t>
      </w:r>
    </w:p>
    <w:p>
      <w:pPr>
        <w:pStyle w:val="BodyText"/>
        <w:spacing w:line="304" w:lineRule="auto" w:before="21"/>
        <w:ind w:right="194" w:firstLine="330"/>
        <w:jc w:val="both"/>
      </w:pPr>
      <w:r>
        <w:rPr>
          <w:color w:val="231F20"/>
        </w:rPr>
        <w:t>（七）除发生火灾等特殊原因，用水人不得擅自开封启动无表防险（用水人消火栓</w:t>
      </w:r>
      <w:r>
        <w:rPr>
          <w:color w:val="231F20"/>
          <w:spacing w:val="-83"/>
        </w:rPr>
        <w:t>）</w:t>
      </w:r>
      <w:r>
        <w:rPr>
          <w:color w:val="231F20"/>
        </w:rPr>
        <w:t>。需要实验内部消防设施的，应当通知供水人派人启封。发生火灾时，用水人可以自行启动使用，灭火后应当及时通知供水人重新铅封。</w:t>
      </w:r>
    </w:p>
    <w:p>
      <w:pPr>
        <w:pStyle w:val="BodyText"/>
        <w:spacing w:before="21"/>
        <w:ind w:left="447"/>
      </w:pPr>
      <w:r>
        <w:rPr>
          <w:color w:val="231F20"/>
        </w:rPr>
        <w:t>（八）不得私自向其他用水人转供水；不得擅自向合同约定的四至外供水</w:t>
      </w:r>
    </w:p>
    <w:p>
      <w:pPr>
        <w:pStyle w:val="BodyText"/>
        <w:spacing w:line="304" w:lineRule="auto"/>
        <w:ind w:right="189" w:firstLine="330"/>
        <w:jc w:val="both"/>
      </w:pPr>
      <w:r>
        <w:rPr>
          <w:color w:val="231F20"/>
        </w:rPr>
        <w:t>（九）由于用水人用水量增加，连续半年超过水表公称流量时，应当办理换表手续；由于用水人全月平均小时用水量低于水表最小流量时，供水人可将水表口径改小，用水人承担工料费；当用水人月用水量达不到底度流量时，按照底度流量收费。</w:t>
      </w:r>
    </w:p>
    <w:p>
      <w:pPr>
        <w:pStyle w:val="BodyText"/>
        <w:tabs>
          <w:tab w:pos="1437" w:val="left" w:leader="none"/>
        </w:tabs>
        <w:spacing w:before="14"/>
        <w:ind w:left="557"/>
        <w:rPr>
          <w:rFonts w:ascii="方正黑体_GBK" w:eastAsia="方正黑体_GBK" w:hint="eastAsia"/>
        </w:rPr>
      </w:pPr>
      <w:r>
        <w:rPr>
          <w:rFonts w:ascii="方正黑体_GBK" w:eastAsia="方正黑体_GBK" w:hint="eastAsia"/>
          <w:color w:val="231F20"/>
        </w:rPr>
        <w:t>第七条</w:t>
        <w:tab/>
        <w:t>违约责任</w:t>
      </w:r>
    </w:p>
    <w:p>
      <w:pPr>
        <w:pStyle w:val="BodyText"/>
        <w:spacing w:before="101"/>
        <w:ind w:left="447"/>
      </w:pPr>
      <w:r>
        <w:rPr>
          <w:color w:val="231F20"/>
        </w:rPr>
        <w:t>（一）供水人的违约责任</w:t>
      </w:r>
    </w:p>
    <w:p>
      <w:pPr>
        <w:pStyle w:val="ListParagraph"/>
        <w:numPr>
          <w:ilvl w:val="0"/>
          <w:numId w:val="2"/>
        </w:numPr>
        <w:tabs>
          <w:tab w:pos="776" w:val="left" w:leader="none"/>
          <w:tab w:pos="1217" w:val="left" w:leader="none"/>
        </w:tabs>
        <w:spacing w:line="304" w:lineRule="auto" w:before="89" w:after="0"/>
        <w:ind w:left="117" w:right="190" w:firstLine="440"/>
        <w:jc w:val="left"/>
        <w:rPr>
          <w:sz w:val="22"/>
        </w:rPr>
      </w:pPr>
      <w:r>
        <w:rPr>
          <w:color w:val="231F20"/>
          <w:sz w:val="22"/>
        </w:rPr>
        <w:t>供水人违反合同约定未向用水人供水的，应当支付用水人停水期间正常用水量水费百分之</w:t>
      </w:r>
      <w:r>
        <w:rPr>
          <w:color w:val="231F20"/>
          <w:sz w:val="22"/>
          <w:u w:val="single" w:color="231F20"/>
        </w:rPr>
        <w:t> </w:t>
        <w:tab/>
      </w:r>
      <w:r>
        <w:rPr>
          <w:color w:val="231F20"/>
          <w:sz w:val="22"/>
        </w:rPr>
        <w:t>的违约金。</w:t>
      </w:r>
    </w:p>
    <w:p>
      <w:pPr>
        <w:pStyle w:val="ListParagraph"/>
        <w:numPr>
          <w:ilvl w:val="0"/>
          <w:numId w:val="2"/>
        </w:numPr>
        <w:tabs>
          <w:tab w:pos="777" w:val="left" w:leader="none"/>
        </w:tabs>
        <w:spacing w:line="304" w:lineRule="auto" w:before="21" w:after="0"/>
        <w:ind w:left="117" w:right="195" w:firstLine="440"/>
        <w:jc w:val="left"/>
        <w:rPr>
          <w:sz w:val="22"/>
        </w:rPr>
      </w:pPr>
      <w:r>
        <w:rPr>
          <w:color w:val="231F20"/>
          <w:sz w:val="22"/>
        </w:rPr>
        <w:t>由于供水人责任事故造成的停水、水压降低、水质量事故，给用水人造成损失的，供水人应当承担赔偿责任。</w:t>
      </w:r>
    </w:p>
    <w:p>
      <w:pPr>
        <w:pStyle w:val="ListParagraph"/>
        <w:numPr>
          <w:ilvl w:val="0"/>
          <w:numId w:val="2"/>
        </w:numPr>
        <w:tabs>
          <w:tab w:pos="776" w:val="left" w:leader="none"/>
        </w:tabs>
        <w:spacing w:line="240" w:lineRule="auto" w:before="21" w:after="0"/>
        <w:ind w:left="775" w:right="0" w:hanging="218"/>
        <w:jc w:val="left"/>
        <w:rPr>
          <w:sz w:val="22"/>
        </w:rPr>
      </w:pPr>
      <w:r>
        <w:rPr>
          <w:color w:val="231F20"/>
          <w:spacing w:val="-14"/>
          <w:sz w:val="22"/>
        </w:rPr>
        <w:t>由于不可抗力的原因或者政府行为造成停水、使用水人受到损失的，供水人不承担赔偿责任。</w:t>
      </w:r>
    </w:p>
    <w:p>
      <w:pPr>
        <w:pStyle w:val="BodyText"/>
        <w:ind w:left="447"/>
      </w:pPr>
      <w:r>
        <w:rPr>
          <w:color w:val="231F20"/>
        </w:rPr>
        <w:t>（二）用水人的违约责任</w:t>
      </w:r>
    </w:p>
    <w:p>
      <w:pPr>
        <w:pStyle w:val="ListParagraph"/>
        <w:numPr>
          <w:ilvl w:val="0"/>
          <w:numId w:val="3"/>
        </w:numPr>
        <w:tabs>
          <w:tab w:pos="776" w:val="left" w:leader="none"/>
        </w:tabs>
        <w:spacing w:line="304" w:lineRule="auto" w:before="89" w:after="0"/>
        <w:ind w:left="117" w:right="193" w:firstLine="440"/>
        <w:jc w:val="both"/>
        <w:rPr>
          <w:sz w:val="22"/>
        </w:rPr>
      </w:pPr>
      <w:r>
        <w:rPr>
          <w:color w:val="231F20"/>
          <w:sz w:val="22"/>
        </w:rPr>
        <w:t>用水人未按期交水费的，还应当支付纳金。超过规定交费日期一个月的，供水人按照国家规定一切有权中止供水。当用水人于半年之内交齐水费和纳金后，供水应当于４８小时恢复供水。中止供水过半年，用水人要求复装的，应当交齐欠费和供水设施复装工料费后，另行办理新装手续。</w:t>
      </w:r>
    </w:p>
    <w:p>
      <w:pPr>
        <w:pStyle w:val="ListParagraph"/>
        <w:numPr>
          <w:ilvl w:val="0"/>
          <w:numId w:val="3"/>
        </w:numPr>
        <w:tabs>
          <w:tab w:pos="767" w:val="left" w:leader="none"/>
          <w:tab w:pos="7878" w:val="left" w:leader="none"/>
        </w:tabs>
        <w:spacing w:line="304" w:lineRule="auto" w:before="21" w:after="0"/>
        <w:ind w:left="117" w:right="199" w:firstLine="440"/>
        <w:jc w:val="left"/>
        <w:rPr>
          <w:sz w:val="22"/>
        </w:rPr>
      </w:pPr>
      <w:r>
        <w:rPr>
          <w:color w:val="231F20"/>
          <w:sz w:val="22"/>
        </w:rPr>
        <w:t>用水</w:t>
      </w:r>
      <w:r>
        <w:rPr>
          <w:color w:val="231F20"/>
          <w:spacing w:val="-5"/>
          <w:sz w:val="22"/>
        </w:rPr>
        <w:t>人私自改变用水性质、向其它用水人转供水，向合同的四至外供水，未到供水人处办理变更手续的，用水人除补交水价差价的水费外，还应多支付水费百分之</w:t>
      </w:r>
      <w:r>
        <w:rPr>
          <w:color w:val="231F20"/>
          <w:spacing w:val="-5"/>
          <w:sz w:val="22"/>
          <w:u w:val="single" w:color="231F20"/>
        </w:rPr>
        <w:t> </w:t>
        <w:tab/>
      </w:r>
      <w:r>
        <w:rPr>
          <w:color w:val="231F20"/>
          <w:spacing w:val="-5"/>
          <w:sz w:val="22"/>
        </w:rPr>
        <w:t>的违约金。</w:t>
      </w:r>
    </w:p>
    <w:p>
      <w:pPr>
        <w:pStyle w:val="ListParagraph"/>
        <w:numPr>
          <w:ilvl w:val="0"/>
          <w:numId w:val="3"/>
        </w:numPr>
        <w:tabs>
          <w:tab w:pos="776" w:val="left" w:leader="none"/>
        </w:tabs>
        <w:spacing w:line="304" w:lineRule="auto" w:before="21" w:after="0"/>
        <w:ind w:left="117" w:right="193" w:firstLine="440"/>
        <w:jc w:val="left"/>
        <w:rPr>
          <w:sz w:val="22"/>
        </w:rPr>
      </w:pPr>
      <w:r>
        <w:rPr>
          <w:color w:val="231F20"/>
          <w:sz w:val="22"/>
        </w:rPr>
        <w:t>用水人终止用水，未到供水人处办理相关手续，给供水人造成损失的，由用水人承担赔偿责任。</w:t>
      </w:r>
    </w:p>
    <w:p>
      <w:pPr>
        <w:pStyle w:val="BodyText"/>
        <w:tabs>
          <w:tab w:pos="1437" w:val="left" w:leader="none"/>
        </w:tabs>
        <w:spacing w:before="15"/>
        <w:ind w:left="557"/>
        <w:rPr>
          <w:rFonts w:ascii="方正黑体_GBK" w:eastAsia="方正黑体_GBK" w:hint="eastAsia"/>
        </w:rPr>
      </w:pPr>
      <w:r>
        <w:rPr>
          <w:rFonts w:ascii="方正黑体_GBK" w:eastAsia="方正黑体_GBK" w:hint="eastAsia"/>
          <w:color w:val="231F20"/>
        </w:rPr>
        <w:t>第八条</w:t>
        <w:tab/>
        <w:t>合同有效期限</w:t>
      </w:r>
    </w:p>
    <w:p>
      <w:pPr>
        <w:pStyle w:val="BodyText"/>
        <w:tabs>
          <w:tab w:pos="2537" w:val="left" w:leader="none"/>
          <w:tab w:pos="4077" w:val="left" w:leader="none"/>
          <w:tab w:pos="4737" w:val="left" w:leader="none"/>
          <w:tab w:pos="5397" w:val="left" w:leader="none"/>
          <w:tab w:pos="6937" w:val="left" w:leader="none"/>
          <w:tab w:pos="7597" w:val="left" w:leader="none"/>
          <w:tab w:pos="8257" w:val="left" w:leader="none"/>
        </w:tabs>
        <w:spacing w:before="102"/>
        <w:ind w:left="557"/>
      </w:pPr>
      <w:r>
        <w:rPr>
          <w:color w:val="231F20"/>
        </w:rPr>
        <w:t>合同期限为</w:t>
      </w:r>
      <w:r>
        <w:rPr>
          <w:color w:val="231F20"/>
          <w:u w:val="single" w:color="231F20"/>
        </w:rPr>
        <w:t> </w:t>
        <w:tab/>
      </w:r>
      <w:r>
        <w:rPr>
          <w:color w:val="231F20"/>
        </w:rPr>
        <w:t>年，从</w:t>
      </w:r>
      <w:r>
        <w:rPr>
          <w:color w:val="231F20"/>
          <w:u w:val="single" w:color="231F20"/>
        </w:rPr>
        <w:t> </w:t>
        <w:tab/>
      </w:r>
      <w:r>
        <w:rPr>
          <w:color w:val="231F20"/>
        </w:rPr>
        <w:t>年</w:t>
      </w:r>
      <w:r>
        <w:rPr>
          <w:color w:val="231F20"/>
          <w:u w:val="single" w:color="231F20"/>
        </w:rPr>
        <w:t> </w:t>
        <w:tab/>
      </w:r>
      <w:r>
        <w:rPr>
          <w:color w:val="231F20"/>
        </w:rPr>
        <w:t>月</w:t>
      </w:r>
      <w:r>
        <w:rPr>
          <w:color w:val="231F20"/>
          <w:u w:val="single" w:color="231F20"/>
        </w:rPr>
        <w:t> </w:t>
        <w:tab/>
      </w:r>
      <w:r>
        <w:rPr>
          <w:color w:val="231F20"/>
        </w:rPr>
        <w:t>日起至</w:t>
      </w:r>
      <w:r>
        <w:rPr>
          <w:color w:val="231F20"/>
          <w:u w:val="single" w:color="231F20"/>
        </w:rPr>
        <w:t> </w:t>
        <w:tab/>
      </w:r>
      <w:r>
        <w:rPr>
          <w:color w:val="231F20"/>
        </w:rPr>
        <w:t>年</w:t>
      </w:r>
      <w:r>
        <w:rPr>
          <w:color w:val="231F20"/>
          <w:u w:val="single" w:color="231F20"/>
        </w:rPr>
        <w:t> </w:t>
        <w:tab/>
      </w:r>
      <w:r>
        <w:rPr>
          <w:color w:val="231F20"/>
        </w:rPr>
        <w:t>月</w:t>
      </w:r>
      <w:r>
        <w:rPr>
          <w:color w:val="231F20"/>
          <w:u w:val="single" w:color="231F20"/>
        </w:rPr>
        <w:t> </w:t>
        <w:tab/>
      </w:r>
      <w:r>
        <w:rPr>
          <w:color w:val="231F20"/>
        </w:rPr>
        <w:t>日止。</w:t>
      </w:r>
    </w:p>
    <w:p>
      <w:pPr>
        <w:spacing w:after="0"/>
        <w:sectPr>
          <w:pgSz w:w="11910" w:h="16840"/>
          <w:pgMar w:header="0" w:footer="832" w:top="1580" w:bottom="1020" w:left="1300" w:right="1220"/>
        </w:sectPr>
      </w:pPr>
    </w:p>
    <w:p>
      <w:pPr>
        <w:pStyle w:val="BodyText"/>
        <w:tabs>
          <w:tab w:pos="1437" w:val="left" w:leader="none"/>
        </w:tabs>
        <w:spacing w:before="18"/>
        <w:ind w:left="557"/>
        <w:rPr>
          <w:rFonts w:ascii="方正黑体_GBK" w:eastAsia="方正黑体_GBK" w:hint="eastAsia"/>
        </w:rPr>
      </w:pPr>
      <w:r>
        <w:rPr>
          <w:rFonts w:ascii="方正黑体_GBK" w:eastAsia="方正黑体_GBK" w:hint="eastAsia"/>
          <w:color w:val="231F20"/>
        </w:rPr>
        <w:t>第九条</w:t>
        <w:tab/>
        <w:t>合同的变更</w:t>
      </w:r>
    </w:p>
    <w:p>
      <w:pPr>
        <w:pStyle w:val="BodyText"/>
        <w:spacing w:line="304" w:lineRule="auto" w:before="102"/>
        <w:ind w:firstLine="440"/>
      </w:pPr>
      <w:r>
        <w:rPr>
          <w:color w:val="231F20"/>
        </w:rPr>
        <w:t>当事人如需要修改合同条款或者合同未尽事宜，须经双方协商一致，签定补充协定，补充协定与本合同具有同等效力。</w:t>
      </w:r>
    </w:p>
    <w:p>
      <w:pPr>
        <w:pStyle w:val="BodyText"/>
        <w:tabs>
          <w:tab w:pos="1437" w:val="left" w:leader="none"/>
        </w:tabs>
        <w:spacing w:before="14"/>
        <w:ind w:left="557"/>
        <w:rPr>
          <w:rFonts w:ascii="方正黑体_GBK" w:eastAsia="方正黑体_GBK" w:hint="eastAsia"/>
        </w:rPr>
      </w:pPr>
      <w:r>
        <w:rPr>
          <w:rFonts w:ascii="方正黑体_GBK" w:eastAsia="方正黑体_GBK" w:hint="eastAsia"/>
          <w:color w:val="231F20"/>
        </w:rPr>
        <w:t>第十条</w:t>
        <w:tab/>
        <w:t>争议的解决方式</w:t>
      </w:r>
    </w:p>
    <w:p>
      <w:pPr>
        <w:pStyle w:val="BodyText"/>
        <w:tabs>
          <w:tab w:pos="8964" w:val="left" w:leader="none"/>
        </w:tabs>
        <w:spacing w:line="304" w:lineRule="auto" w:before="101"/>
        <w:ind w:right="115" w:firstLine="440"/>
      </w:pPr>
      <w:r>
        <w:rPr>
          <w:color w:val="231F20"/>
        </w:rPr>
        <w:t>本合同在</w:t>
      </w:r>
      <w:r>
        <w:rPr>
          <w:color w:val="231F20"/>
          <w:spacing w:val="-6"/>
        </w:rPr>
        <w:t>履行过程中发生争议</w:t>
      </w:r>
      <w:r>
        <w:rPr>
          <w:color w:val="231F20"/>
          <w:spacing w:val="-9"/>
        </w:rPr>
        <w:t>时</w:t>
      </w:r>
      <w:r>
        <w:rPr>
          <w:color w:val="231F20"/>
          <w:spacing w:val="-6"/>
        </w:rPr>
        <w:t>，由当事人双方协商解</w:t>
      </w:r>
      <w:r>
        <w:rPr>
          <w:color w:val="231F20"/>
          <w:spacing w:val="-9"/>
        </w:rPr>
        <w:t>决</w:t>
      </w:r>
      <w:r>
        <w:rPr>
          <w:color w:val="231F20"/>
          <w:spacing w:val="-6"/>
        </w:rPr>
        <w:t>，协商不成</w:t>
      </w:r>
      <w:r>
        <w:rPr>
          <w:color w:val="231F20"/>
          <w:spacing w:val="-9"/>
        </w:rPr>
        <w:t>的</w:t>
      </w:r>
      <w:r>
        <w:rPr>
          <w:color w:val="231F20"/>
          <w:spacing w:val="-6"/>
        </w:rPr>
        <w:t>，按下列</w:t>
      </w:r>
      <w:r>
        <w:rPr>
          <w:color w:val="231F20"/>
          <w:spacing w:val="-9"/>
        </w:rPr>
        <w:t>第</w:t>
      </w:r>
      <w:r>
        <w:rPr>
          <w:color w:val="231F20"/>
          <w:spacing w:val="-9"/>
          <w:u w:val="single" w:color="231F20"/>
        </w:rPr>
        <w:t> </w:t>
        <w:tab/>
      </w:r>
      <w:r>
        <w:rPr>
          <w:color w:val="231F20"/>
        </w:rPr>
        <w:t>种方式解决：</w:t>
      </w:r>
    </w:p>
    <w:p>
      <w:pPr>
        <w:pStyle w:val="BodyText"/>
        <w:tabs>
          <w:tab w:pos="3087" w:val="left" w:leader="none"/>
        </w:tabs>
        <w:spacing w:before="20"/>
        <w:ind w:left="447"/>
      </w:pPr>
      <w:r>
        <w:rPr>
          <w:color w:val="231F20"/>
        </w:rPr>
        <w:t>（一）提交</w:t>
      </w:r>
      <w:r>
        <w:rPr>
          <w:color w:val="231F20"/>
          <w:u w:val="single" w:color="231F20"/>
        </w:rPr>
        <w:t> </w:t>
        <w:tab/>
      </w:r>
      <w:r>
        <w:rPr>
          <w:color w:val="231F20"/>
        </w:rPr>
        <w:t>仲裁委员会仲裁；</w:t>
      </w:r>
    </w:p>
    <w:p>
      <w:pPr>
        <w:pStyle w:val="BodyText"/>
        <w:spacing w:before="88"/>
        <w:ind w:left="447"/>
      </w:pPr>
      <w:r>
        <w:rPr>
          <w:color w:val="231F20"/>
        </w:rPr>
        <w:t>（二）依法向人民法院起诉。</w:t>
      </w:r>
    </w:p>
    <w:p>
      <w:pPr>
        <w:pStyle w:val="BodyText"/>
        <w:tabs>
          <w:tab w:pos="1657" w:val="left" w:leader="none"/>
        </w:tabs>
        <w:spacing w:before="82"/>
        <w:ind w:left="557"/>
        <w:rPr>
          <w:rFonts w:ascii="方正黑体_GBK" w:eastAsia="方正黑体_GBK" w:hint="eastAsia"/>
        </w:rPr>
      </w:pPr>
      <w:r>
        <w:rPr>
          <w:rFonts w:ascii="方正黑体_GBK" w:eastAsia="方正黑体_GBK" w:hint="eastAsia"/>
          <w:color w:val="231F20"/>
        </w:rPr>
        <w:t>第十一条</w:t>
        <w:tab/>
        <w:t>其他约定</w:t>
      </w:r>
    </w:p>
    <w:p>
      <w:pPr>
        <w:pStyle w:val="BodyText"/>
        <w:spacing w:before="1"/>
        <w:ind w:left="0"/>
        <w:rPr>
          <w:rFonts w:ascii="方正黑体_GBK"/>
          <w:sz w:val="26"/>
        </w:rPr>
      </w:pPr>
      <w:r>
        <w:rPr/>
        <w:pict>
          <v:line style="position:absolute;mso-position-horizontal-relative:page;mso-position-vertical-relative:paragraph;z-index:0;mso-wrap-distance-left:0;mso-wrap-distance-right:0" from="70.866096pt,21.316528pt" to="524.409096pt,21.316528pt" stroked="true" strokeweight=".283pt" strokecolor="#231f20">
            <v:stroke dashstyle="solid"/>
            <w10:wrap type="topAndBottom"/>
          </v:line>
        </w:pict>
      </w:r>
      <w:r>
        <w:rPr/>
        <w:pict>
          <v:line style="position:absolute;mso-position-horizontal-relative:page;mso-position-vertical-relative:paragraph;z-index:1048;mso-wrap-distance-left:0;mso-wrap-distance-right:0" from="70.866096pt,42.316528pt" to="524.409096pt,42.316528pt" stroked="true" strokeweight=".283pt" strokecolor="#231f20">
            <v:stroke dashstyle="solid"/>
            <w10:wrap type="topAndBottom"/>
          </v:line>
        </w:pict>
      </w:r>
      <w:r>
        <w:rPr/>
        <w:pict>
          <v:line style="position:absolute;mso-position-horizontal-relative:page;mso-position-vertical-relative:paragraph;z-index:1072;mso-wrap-distance-left:0;mso-wrap-distance-right:0" from="70.866096pt,63.316528pt" to="524.409096pt,63.316528pt" stroked="true" strokeweight=".283pt" strokecolor="#231f20">
            <v:stroke dashstyle="solid"/>
            <w10:wrap type="topAndBottom"/>
          </v:line>
        </w:pict>
      </w:r>
    </w:p>
    <w:p>
      <w:pPr>
        <w:pStyle w:val="BodyText"/>
        <w:spacing w:before="7"/>
        <w:ind w:left="0"/>
        <w:rPr>
          <w:rFonts w:ascii="方正黑体_GBK"/>
          <w:sz w:val="23"/>
        </w:rPr>
      </w:pPr>
    </w:p>
    <w:p>
      <w:pPr>
        <w:pStyle w:val="BodyText"/>
        <w:spacing w:before="7"/>
        <w:ind w:left="0"/>
        <w:rPr>
          <w:rFonts w:ascii="方正黑体_GBK"/>
          <w:sz w:val="23"/>
        </w:rPr>
      </w:pPr>
    </w:p>
    <w:p>
      <w:pPr>
        <w:pStyle w:val="BodyText"/>
        <w:spacing w:before="0"/>
        <w:ind w:left="0"/>
        <w:rPr>
          <w:rFonts w:ascii="方正黑体_GBK"/>
          <w:sz w:val="24"/>
        </w:rPr>
      </w:pPr>
    </w:p>
    <w:p>
      <w:pPr>
        <w:pStyle w:val="BodyText"/>
        <w:spacing w:before="0"/>
        <w:ind w:left="0"/>
        <w:rPr>
          <w:rFonts w:ascii="方正黑体_GBK"/>
          <w:sz w:val="24"/>
        </w:rPr>
      </w:pPr>
    </w:p>
    <w:p>
      <w:pPr>
        <w:pStyle w:val="BodyText"/>
        <w:tabs>
          <w:tab w:pos="5157" w:val="left" w:leader="none"/>
        </w:tabs>
        <w:spacing w:before="197"/>
        <w:ind w:left="557"/>
      </w:pPr>
      <w:r>
        <w:rPr>
          <w:color w:val="231F20"/>
        </w:rPr>
        <w:t>供水人：</w:t>
        <w:tab/>
        <w:t>用水人：</w:t>
      </w:r>
    </w:p>
    <w:p>
      <w:pPr>
        <w:pStyle w:val="BodyText"/>
        <w:tabs>
          <w:tab w:pos="6147" w:val="left" w:leader="none"/>
        </w:tabs>
        <w:ind w:left="1601"/>
      </w:pPr>
      <w:r>
        <w:rPr>
          <w:color w:val="231F20"/>
        </w:rPr>
        <w:t>（盖章）</w:t>
        <w:tab/>
        <w:t>（盖章）</w:t>
      </w:r>
    </w:p>
    <w:p>
      <w:pPr>
        <w:pStyle w:val="BodyText"/>
        <w:tabs>
          <w:tab w:pos="1217" w:val="left" w:leader="none"/>
          <w:tab w:pos="5157" w:val="left" w:leader="none"/>
          <w:tab w:pos="5817" w:val="left" w:leader="none"/>
        </w:tabs>
        <w:ind w:left="557"/>
      </w:pPr>
      <w:r>
        <w:rPr>
          <w:color w:val="231F20"/>
        </w:rPr>
        <w:t>住</w:t>
        <w:tab/>
        <w:t>所：</w:t>
        <w:tab/>
        <w:t>住</w:t>
        <w:tab/>
        <w:t>所：</w:t>
      </w:r>
    </w:p>
    <w:p>
      <w:pPr>
        <w:pStyle w:val="BodyText"/>
        <w:tabs>
          <w:tab w:pos="5157" w:val="left" w:leader="none"/>
        </w:tabs>
        <w:ind w:left="557"/>
      </w:pPr>
      <w:r>
        <w:rPr>
          <w:color w:val="231F20"/>
        </w:rPr>
        <w:t>法定代表人（签字</w:t>
      </w:r>
      <w:r>
        <w:rPr>
          <w:color w:val="231F20"/>
          <w:spacing w:val="-28"/>
        </w:rPr>
        <w:t>）：</w:t>
        <w:tab/>
      </w:r>
      <w:r>
        <w:rPr>
          <w:color w:val="231F20"/>
        </w:rPr>
        <w:t>法定代表人（签字</w:t>
      </w:r>
      <w:r>
        <w:rPr>
          <w:color w:val="231F20"/>
          <w:spacing w:val="-28"/>
        </w:rPr>
        <w:t>）：</w:t>
      </w:r>
    </w:p>
    <w:p>
      <w:pPr>
        <w:pStyle w:val="BodyText"/>
        <w:tabs>
          <w:tab w:pos="5157" w:val="left" w:leader="none"/>
        </w:tabs>
        <w:ind w:left="557"/>
      </w:pPr>
      <w:r>
        <w:rPr>
          <w:color w:val="231F20"/>
        </w:rPr>
        <w:t>委托代理人（签字</w:t>
      </w:r>
      <w:r>
        <w:rPr>
          <w:color w:val="231F20"/>
          <w:spacing w:val="-28"/>
        </w:rPr>
        <w:t>）：</w:t>
        <w:tab/>
      </w:r>
      <w:r>
        <w:rPr>
          <w:color w:val="231F20"/>
        </w:rPr>
        <w:t>委托代理人（签字</w:t>
      </w:r>
      <w:r>
        <w:rPr>
          <w:color w:val="231F20"/>
          <w:spacing w:val="-28"/>
        </w:rPr>
        <w:t>）：</w:t>
      </w:r>
    </w:p>
    <w:p>
      <w:pPr>
        <w:pStyle w:val="BodyText"/>
        <w:tabs>
          <w:tab w:pos="5157" w:val="left" w:leader="none"/>
        </w:tabs>
        <w:ind w:left="557"/>
      </w:pPr>
      <w:r>
        <w:rPr>
          <w:color w:val="231F20"/>
        </w:rPr>
        <w:t>开户银行：</w:t>
        <w:tab/>
        <w:t>开户银行：</w:t>
      </w:r>
    </w:p>
    <w:p>
      <w:pPr>
        <w:pStyle w:val="BodyText"/>
        <w:tabs>
          <w:tab w:pos="1217" w:val="left" w:leader="none"/>
          <w:tab w:pos="5157" w:val="left" w:leader="none"/>
          <w:tab w:pos="5817" w:val="left" w:leader="none"/>
        </w:tabs>
        <w:ind w:left="557"/>
      </w:pPr>
      <w:r>
        <w:rPr>
          <w:color w:val="231F20"/>
        </w:rPr>
        <w:t>账</w:t>
        <w:tab/>
        <w:t>号：</w:t>
        <w:tab/>
        <w:t>账</w:t>
        <w:tab/>
        <w:t>号：</w:t>
      </w:r>
    </w:p>
    <w:p>
      <w:pPr>
        <w:pStyle w:val="BodyText"/>
        <w:tabs>
          <w:tab w:pos="1217" w:val="left" w:leader="none"/>
          <w:tab w:pos="5157" w:val="left" w:leader="none"/>
          <w:tab w:pos="5817" w:val="left" w:leader="none"/>
        </w:tabs>
        <w:ind w:left="557"/>
      </w:pPr>
      <w:r>
        <w:rPr>
          <w:color w:val="231F20"/>
        </w:rPr>
        <w:t>电</w:t>
        <w:tab/>
        <w:t>话：</w:t>
        <w:tab/>
        <w:t>电</w:t>
        <w:tab/>
        <w:t>话：</w:t>
      </w:r>
    </w:p>
    <w:sectPr>
      <w:pgSz w:w="11910" w:h="16840"/>
      <w:pgMar w:header="0" w:footer="832" w:top="1580" w:bottom="1020" w:left="1300" w:right="13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方正小标宋_GBK">
    <w:altName w:val="方正小标宋_GBK"/>
    <w:charset w:val="86"/>
    <w:family w:val="script"/>
    <w:pitch w:val="fixed"/>
  </w:font>
  <w:font w:name="方正楷体_GBK">
    <w:altName w:val="方正楷体_GBK"/>
    <w:charset w:val="86"/>
    <w:family w:val="script"/>
    <w:pitch w:val="fixed"/>
  </w:font>
  <w:font w:name="方正书宋_GBK">
    <w:altName w:val="方正书宋_GBK"/>
    <w:charset w:val="86"/>
    <w:family w:val="script"/>
    <w:pitch w:val="fixed"/>
  </w:font>
  <w:font w:name="方正黑体_GBK">
    <w:altName w:val="方正黑体_GBK"/>
    <w:charset w:val="86"/>
    <w:family w:val="script"/>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type id="_x0000_t202" o:spt="202" coordsize="21600,21600" path="m,l,21600r21600,l21600,xe">
          <v:stroke joinstyle="miter"/>
          <v:path gradientshapeok="t" o:connecttype="rect"/>
        </v:shapetype>
        <v:shape style="position:absolute;margin-left:517.409424pt;margin-top:789.265808pt;width:9pt;height:13.1pt;mso-position-horizontal-relative:page;mso-position-vertical-relative:page;z-index:-4576"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9pt;height:13.1pt;mso-position-horizontal-relative:page;mso-position-vertical-relative:page;z-index:-4552"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w w:val="100"/>
        <w:sz w:val="22"/>
        <w:szCs w:val="22"/>
      </w:rPr>
    </w:lvl>
    <w:lvl w:ilvl="1">
      <w:start w:val="0"/>
      <w:numFmt w:val="bullet"/>
      <w:lvlText w:val="•"/>
      <w:lvlJc w:val="left"/>
      <w:pPr>
        <w:ind w:left="1046" w:hanging="219"/>
      </w:pPr>
      <w:rPr>
        <w:rFonts w:hint="default"/>
      </w:rPr>
    </w:lvl>
    <w:lvl w:ilvl="2">
      <w:start w:val="0"/>
      <w:numFmt w:val="bullet"/>
      <w:lvlText w:val="•"/>
      <w:lvlJc w:val="left"/>
      <w:pPr>
        <w:ind w:left="1973" w:hanging="219"/>
      </w:pPr>
      <w:rPr>
        <w:rFonts w:hint="default"/>
      </w:rPr>
    </w:lvl>
    <w:lvl w:ilvl="3">
      <w:start w:val="0"/>
      <w:numFmt w:val="bullet"/>
      <w:lvlText w:val="•"/>
      <w:lvlJc w:val="left"/>
      <w:pPr>
        <w:ind w:left="2899" w:hanging="219"/>
      </w:pPr>
      <w:rPr>
        <w:rFonts w:hint="default"/>
      </w:rPr>
    </w:lvl>
    <w:lvl w:ilvl="4">
      <w:start w:val="0"/>
      <w:numFmt w:val="bullet"/>
      <w:lvlText w:val="•"/>
      <w:lvlJc w:val="left"/>
      <w:pPr>
        <w:ind w:left="3826" w:hanging="219"/>
      </w:pPr>
      <w:rPr>
        <w:rFonts w:hint="default"/>
      </w:rPr>
    </w:lvl>
    <w:lvl w:ilvl="5">
      <w:start w:val="0"/>
      <w:numFmt w:val="bullet"/>
      <w:lvlText w:val="•"/>
      <w:lvlJc w:val="left"/>
      <w:pPr>
        <w:ind w:left="4752" w:hanging="219"/>
      </w:pPr>
      <w:rPr>
        <w:rFonts w:hint="default"/>
      </w:rPr>
    </w:lvl>
    <w:lvl w:ilvl="6">
      <w:start w:val="0"/>
      <w:numFmt w:val="bullet"/>
      <w:lvlText w:val="•"/>
      <w:lvlJc w:val="left"/>
      <w:pPr>
        <w:ind w:left="5679" w:hanging="219"/>
      </w:pPr>
      <w:rPr>
        <w:rFonts w:hint="default"/>
      </w:rPr>
    </w:lvl>
    <w:lvl w:ilvl="7">
      <w:start w:val="0"/>
      <w:numFmt w:val="bullet"/>
      <w:lvlText w:val="•"/>
      <w:lvlJc w:val="left"/>
      <w:pPr>
        <w:ind w:left="6605" w:hanging="219"/>
      </w:pPr>
      <w:rPr>
        <w:rFonts w:hint="default"/>
      </w:rPr>
    </w:lvl>
    <w:lvl w:ilvl="8">
      <w:start w:val="0"/>
      <w:numFmt w:val="bullet"/>
      <w:lvlText w:val="•"/>
      <w:lvlJc w:val="left"/>
      <w:pPr>
        <w:ind w:left="7532" w:hanging="219"/>
      </w:pPr>
      <w:rPr>
        <w:rFonts w:hint="default"/>
      </w:rPr>
    </w:lvl>
  </w:abstractNum>
  <w:abstractNum w:abstractNumId="1">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w w:val="100"/>
        <w:sz w:val="22"/>
        <w:szCs w:val="22"/>
      </w:rPr>
    </w:lvl>
    <w:lvl w:ilvl="1">
      <w:start w:val="0"/>
      <w:numFmt w:val="bullet"/>
      <w:lvlText w:val="•"/>
      <w:lvlJc w:val="left"/>
      <w:pPr>
        <w:ind w:left="1046" w:hanging="219"/>
      </w:pPr>
      <w:rPr>
        <w:rFonts w:hint="default"/>
      </w:rPr>
    </w:lvl>
    <w:lvl w:ilvl="2">
      <w:start w:val="0"/>
      <w:numFmt w:val="bullet"/>
      <w:lvlText w:val="•"/>
      <w:lvlJc w:val="left"/>
      <w:pPr>
        <w:ind w:left="1973" w:hanging="219"/>
      </w:pPr>
      <w:rPr>
        <w:rFonts w:hint="default"/>
      </w:rPr>
    </w:lvl>
    <w:lvl w:ilvl="3">
      <w:start w:val="0"/>
      <w:numFmt w:val="bullet"/>
      <w:lvlText w:val="•"/>
      <w:lvlJc w:val="left"/>
      <w:pPr>
        <w:ind w:left="2899" w:hanging="219"/>
      </w:pPr>
      <w:rPr>
        <w:rFonts w:hint="default"/>
      </w:rPr>
    </w:lvl>
    <w:lvl w:ilvl="4">
      <w:start w:val="0"/>
      <w:numFmt w:val="bullet"/>
      <w:lvlText w:val="•"/>
      <w:lvlJc w:val="left"/>
      <w:pPr>
        <w:ind w:left="3826" w:hanging="219"/>
      </w:pPr>
      <w:rPr>
        <w:rFonts w:hint="default"/>
      </w:rPr>
    </w:lvl>
    <w:lvl w:ilvl="5">
      <w:start w:val="0"/>
      <w:numFmt w:val="bullet"/>
      <w:lvlText w:val="•"/>
      <w:lvlJc w:val="left"/>
      <w:pPr>
        <w:ind w:left="4752" w:hanging="219"/>
      </w:pPr>
      <w:rPr>
        <w:rFonts w:hint="default"/>
      </w:rPr>
    </w:lvl>
    <w:lvl w:ilvl="6">
      <w:start w:val="0"/>
      <w:numFmt w:val="bullet"/>
      <w:lvlText w:val="•"/>
      <w:lvlJc w:val="left"/>
      <w:pPr>
        <w:ind w:left="5679" w:hanging="219"/>
      </w:pPr>
      <w:rPr>
        <w:rFonts w:hint="default"/>
      </w:rPr>
    </w:lvl>
    <w:lvl w:ilvl="7">
      <w:start w:val="0"/>
      <w:numFmt w:val="bullet"/>
      <w:lvlText w:val="•"/>
      <w:lvlJc w:val="left"/>
      <w:pPr>
        <w:ind w:left="6605" w:hanging="219"/>
      </w:pPr>
      <w:rPr>
        <w:rFonts w:hint="default"/>
      </w:rPr>
    </w:lvl>
    <w:lvl w:ilvl="8">
      <w:start w:val="0"/>
      <w:numFmt w:val="bullet"/>
      <w:lvlText w:val="•"/>
      <w:lvlJc w:val="left"/>
      <w:pPr>
        <w:ind w:left="7532" w:hanging="219"/>
      </w:pPr>
      <w:rPr>
        <w:rFonts w:hint="default"/>
      </w:rPr>
    </w:lvl>
  </w:abstractNum>
  <w:abstractNum w:abstractNumId="0">
    <w:multiLevelType w:val="hybridMultilevel"/>
    <w:lvl w:ilvl="0">
      <w:start w:val="1"/>
      <w:numFmt w:val="decimal"/>
      <w:lvlText w:val="%1."/>
      <w:lvlJc w:val="left"/>
      <w:pPr>
        <w:ind w:left="775"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642" w:hanging="219"/>
      </w:pPr>
      <w:rPr>
        <w:rFonts w:hint="default"/>
      </w:rPr>
    </w:lvl>
    <w:lvl w:ilvl="2">
      <w:start w:val="0"/>
      <w:numFmt w:val="bullet"/>
      <w:lvlText w:val="•"/>
      <w:lvlJc w:val="left"/>
      <w:pPr>
        <w:ind w:left="2505" w:hanging="219"/>
      </w:pPr>
      <w:rPr>
        <w:rFonts w:hint="default"/>
      </w:rPr>
    </w:lvl>
    <w:lvl w:ilvl="3">
      <w:start w:val="0"/>
      <w:numFmt w:val="bullet"/>
      <w:lvlText w:val="•"/>
      <w:lvlJc w:val="left"/>
      <w:pPr>
        <w:ind w:left="3367" w:hanging="219"/>
      </w:pPr>
      <w:rPr>
        <w:rFonts w:hint="default"/>
      </w:rPr>
    </w:lvl>
    <w:lvl w:ilvl="4">
      <w:start w:val="0"/>
      <w:numFmt w:val="bullet"/>
      <w:lvlText w:val="•"/>
      <w:lvlJc w:val="left"/>
      <w:pPr>
        <w:ind w:left="4230" w:hanging="219"/>
      </w:pPr>
      <w:rPr>
        <w:rFonts w:hint="default"/>
      </w:rPr>
    </w:lvl>
    <w:lvl w:ilvl="5">
      <w:start w:val="0"/>
      <w:numFmt w:val="bullet"/>
      <w:lvlText w:val="•"/>
      <w:lvlJc w:val="left"/>
      <w:pPr>
        <w:ind w:left="5092" w:hanging="219"/>
      </w:pPr>
      <w:rPr>
        <w:rFonts w:hint="default"/>
      </w:rPr>
    </w:lvl>
    <w:lvl w:ilvl="6">
      <w:start w:val="0"/>
      <w:numFmt w:val="bullet"/>
      <w:lvlText w:val="•"/>
      <w:lvlJc w:val="left"/>
      <w:pPr>
        <w:ind w:left="5955" w:hanging="219"/>
      </w:pPr>
      <w:rPr>
        <w:rFonts w:hint="default"/>
      </w:rPr>
    </w:lvl>
    <w:lvl w:ilvl="7">
      <w:start w:val="0"/>
      <w:numFmt w:val="bullet"/>
      <w:lvlText w:val="•"/>
      <w:lvlJc w:val="left"/>
      <w:pPr>
        <w:ind w:left="6817" w:hanging="219"/>
      </w:pPr>
      <w:rPr>
        <w:rFonts w:hint="default"/>
      </w:rPr>
    </w:lvl>
    <w:lvl w:ilvl="8">
      <w:start w:val="0"/>
      <w:numFmt w:val="bullet"/>
      <w:lvlText w:val="•"/>
      <w:lvlJc w:val="left"/>
      <w:pPr>
        <w:ind w:left="7680" w:hanging="219"/>
      </w:pPr>
      <w:rPr>
        <w:rFonts w:hint="default"/>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方正书宋_GBK" w:hAnsi="方正书宋_GBK" w:eastAsia="方正书宋_GBK" w:cs="方正书宋_GBK"/>
    </w:rPr>
  </w:style>
  <w:style w:styleId="BodyText" w:type="paragraph">
    <w:name w:val="Body Text"/>
    <w:basedOn w:val="Normal"/>
    <w:uiPriority w:val="1"/>
    <w:qFormat/>
    <w:pPr>
      <w:spacing w:before="89"/>
      <w:ind w:left="117"/>
    </w:pPr>
    <w:rPr>
      <w:rFonts w:ascii="方正书宋_GBK" w:hAnsi="方正书宋_GBK" w:eastAsia="方正书宋_GBK" w:cs="方正书宋_GBK"/>
      <w:sz w:val="22"/>
      <w:szCs w:val="22"/>
    </w:rPr>
  </w:style>
  <w:style w:styleId="ListParagraph" w:type="paragraph">
    <w:name w:val="List Paragraph"/>
    <w:basedOn w:val="Normal"/>
    <w:uiPriority w:val="1"/>
    <w:qFormat/>
    <w:pPr>
      <w:spacing w:before="21"/>
      <w:ind w:left="117" w:firstLine="440"/>
    </w:pPr>
    <w:rPr>
      <w:rFonts w:ascii="方正书宋_GBK" w:hAnsi="方正书宋_GBK" w:eastAsia="方正书宋_GBK" w:cs="方正书宋_GBK"/>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2021-12-01T23:28:58Z</dcterms:created>
  <dcterms:modified xsi:type="dcterms:W3CDTF">2021-12-01T23:28:58Z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2021-12-01T00:00:00Z</vt:filetime>
  </property>
  <property fmtid="{D5CDD505-2E9C-101B-9397-08002B2CF9AE}" pid="3" name="Creator">
    <vt:lpwstr>Adobe InDesign 14.0 (Windows)</vt:lpwstr>
  </property>
  <property fmtid="{D5CDD505-2E9C-101B-9397-08002B2CF9AE}" pid="4" name="LastSaved">
    <vt:filetime>2021-12-01T00:00:00Z</vt:filetime>
  </property>
</Properties>
</file>