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z w:val="28"/>
        </w:rPr>
        <w:t>GF—2007—0211</w:t>
      </w: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spacing w:before="3"/>
        <w:ind w:left="0"/>
        <w:rPr>
          <w:rFonts w:ascii="Times New Roman"/>
          <w:b/>
          <w:sz w:val="17"/>
        </w:rPr>
      </w:pPr>
    </w:p>
    <w:p>
      <w:pPr>
        <w:spacing w:line="577" w:lineRule="exact" w:before="0"/>
        <w:ind w:left="0" w:right="0" w:firstLine="0"/>
        <w:jc w:val="center"/>
        <w:rPr>
          <w:rFonts w:ascii="方正小标宋_GBK" w:eastAsia="方正小标宋_GBK" w:hint="eastAsia"/>
          <w:sz w:val="40"/>
        </w:rPr>
      </w:pPr>
      <w:r>
        <w:rPr>
          <w:rFonts w:ascii="方正小标宋_GBK" w:eastAsia="方正小标宋_GBK" w:hint="eastAsia"/>
          <w:color w:val="231F20"/>
          <w:sz w:val="40"/>
        </w:rPr>
        <w:t>水利工程施工监理合同</w:t>
      </w:r>
    </w:p>
    <w:p>
      <w:pPr>
        <w:pStyle w:val="Heading1"/>
        <w:spacing w:before="152"/>
        <w:rPr>
          <w:rFonts w:ascii="方正楷体_GBK" w:eastAsia="方正楷体_GBK" w:hint="eastAsia"/>
        </w:rPr>
      </w:pPr>
      <w:r>
        <w:rPr>
          <w:rFonts w:ascii="方正楷体_GBK" w:eastAsia="方正楷体_GBK" w:hint="eastAsia"/>
          <w:color w:val="231F20"/>
        </w:rPr>
        <w:t>（示范文本）</w:t>
      </w: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pStyle w:val="BodyText"/>
        <w:ind w:left="0"/>
        <w:rPr>
          <w:rFonts w:ascii="方正楷体_GBK"/>
          <w:sz w:val="20"/>
        </w:rPr>
      </w:pPr>
    </w:p>
    <w:p>
      <w:pPr>
        <w:spacing w:after="0"/>
        <w:rPr>
          <w:rFonts w:ascii="方正楷体_GBK"/>
          <w:sz w:val="20"/>
        </w:rPr>
        <w:sectPr>
          <w:footerReference w:type="default" r:id="rId5"/>
          <w:footerReference w:type="even" r:id="rId6"/>
          <w:type w:val="continuous"/>
          <w:pgSz w:w="11910" w:h="16840"/>
          <w:pgMar w:footer="832" w:top="1580" w:bottom="1020" w:left="1300" w:right="1300"/>
          <w:pgNumType w:start="1"/>
        </w:sectPr>
      </w:pPr>
    </w:p>
    <w:p>
      <w:pPr>
        <w:pStyle w:val="BodyText"/>
        <w:spacing w:before="6"/>
        <w:ind w:left="0"/>
        <w:rPr>
          <w:rFonts w:ascii="方正楷体_GBK"/>
          <w:sz w:val="29"/>
        </w:rPr>
      </w:pPr>
    </w:p>
    <w:p>
      <w:pPr>
        <w:spacing w:before="1"/>
        <w:ind w:left="2385" w:right="0" w:firstLine="0"/>
        <w:jc w:val="left"/>
        <w:rPr>
          <w:rFonts w:ascii="方正楷体_GBK" w:eastAsia="方正楷体_GBK" w:hint="eastAsia"/>
          <w:sz w:val="26"/>
        </w:rPr>
      </w:pPr>
      <w:r>
        <w:rPr>
          <w:rFonts w:ascii="方正楷体_GBK" w:eastAsia="方正楷体_GBK" w:hint="eastAsia"/>
          <w:color w:val="231F20"/>
          <w:sz w:val="26"/>
        </w:rPr>
        <w:t>中华人民共和国</w:t>
      </w:r>
    </w:p>
    <w:p>
      <w:pPr>
        <w:tabs>
          <w:tab w:pos="1407" w:val="left" w:leader="none"/>
          <w:tab w:pos="2567" w:val="left" w:leader="none"/>
        </w:tabs>
        <w:spacing w:line="273" w:lineRule="auto" w:before="179"/>
        <w:ind w:left="228" w:right="2229" w:firstLine="19"/>
        <w:jc w:val="left"/>
        <w:rPr>
          <w:rFonts w:ascii="方正楷体_GBK" w:eastAsia="方正楷体_GBK" w:hint="eastAsia"/>
          <w:sz w:val="26"/>
        </w:rPr>
      </w:pPr>
      <w:r>
        <w:rPr/>
        <w:br w:type="column"/>
      </w:r>
      <w:r>
        <w:rPr>
          <w:rFonts w:ascii="方正楷体_GBK" w:eastAsia="方正楷体_GBK" w:hint="eastAsia"/>
          <w:color w:val="231F20"/>
          <w:sz w:val="26"/>
        </w:rPr>
        <w:t>水</w:t>
        <w:tab/>
        <w:t>利</w:t>
        <w:tab/>
        <w:t>部国家工商行政管理总局</w:t>
      </w:r>
    </w:p>
    <w:p>
      <w:pPr>
        <w:spacing w:after="0" w:line="273" w:lineRule="auto"/>
        <w:jc w:val="left"/>
        <w:rPr>
          <w:rFonts w:ascii="方正楷体_GBK" w:eastAsia="方正楷体_GBK" w:hint="eastAsia"/>
          <w:sz w:val="26"/>
        </w:rPr>
        <w:sectPr>
          <w:type w:val="continuous"/>
          <w:pgSz w:w="11910" w:h="16840"/>
          <w:pgMar w:top="1580" w:bottom="1020" w:left="1300" w:right="1300"/>
          <w:cols w:num="2" w:equalWidth="0">
            <w:col w:w="4206" w:space="40"/>
            <w:col w:w="5064"/>
          </w:cols>
        </w:sectPr>
      </w:pPr>
    </w:p>
    <w:p>
      <w:pPr>
        <w:pStyle w:val="BodyText"/>
        <w:ind w:left="0"/>
        <w:rPr>
          <w:rFonts w:ascii="方正楷体_GBK"/>
          <w:sz w:val="20"/>
        </w:rPr>
      </w:pPr>
    </w:p>
    <w:p>
      <w:pPr>
        <w:pStyle w:val="BodyText"/>
        <w:ind w:left="0"/>
        <w:rPr>
          <w:rFonts w:ascii="方正楷体_GBK"/>
          <w:sz w:val="20"/>
        </w:rPr>
      </w:pPr>
    </w:p>
    <w:p>
      <w:pPr>
        <w:pStyle w:val="BodyText"/>
        <w:spacing w:before="13"/>
        <w:ind w:left="0"/>
        <w:rPr>
          <w:rFonts w:ascii="方正楷体_GBK"/>
          <w:sz w:val="12"/>
        </w:rPr>
      </w:pPr>
    </w:p>
    <w:p>
      <w:pPr>
        <w:pStyle w:val="Heading1"/>
        <w:tabs>
          <w:tab w:pos="4792" w:val="left" w:leader="none"/>
        </w:tabs>
        <w:spacing w:before="3"/>
        <w:ind w:left="4232"/>
        <w:jc w:val="left"/>
      </w:pPr>
      <w:r>
        <w:rPr>
          <w:color w:val="231F20"/>
        </w:rPr>
        <w:t>说</w:t>
        <w:tab/>
        <w:t>明</w:t>
      </w:r>
    </w:p>
    <w:p>
      <w:pPr>
        <w:pStyle w:val="BodyText"/>
        <w:ind w:left="0"/>
        <w:rPr>
          <w:rFonts w:ascii="方正黑体_GBK"/>
          <w:sz w:val="32"/>
        </w:rPr>
      </w:pPr>
    </w:p>
    <w:p>
      <w:pPr>
        <w:pStyle w:val="BodyText"/>
        <w:spacing w:before="2"/>
        <w:ind w:left="0"/>
        <w:rPr>
          <w:rFonts w:ascii="方正黑体_GBK"/>
        </w:rPr>
      </w:pPr>
    </w:p>
    <w:p>
      <w:pPr>
        <w:pStyle w:val="BodyText"/>
        <w:spacing w:line="304" w:lineRule="auto"/>
        <w:ind w:left="117" w:right="108" w:firstLine="440"/>
        <w:jc w:val="both"/>
      </w:pPr>
      <w:r>
        <w:rPr>
          <w:color w:val="231F20"/>
        </w:rPr>
        <w:t>为进一步规范水利建设监理市场秩序，提高建设监理水平，保障监理合同双方的合法权益，依据《中华人民共和国合同法》等法律法规和水利工程建设监理有关规定，结合现阶段我国水利工程建设监理实际，水利部组织修订了《水利工程建设监理合同示范文本》，并与国家工商行政管理总局联合颁发。</w:t>
      </w:r>
    </w:p>
    <w:p>
      <w:pPr>
        <w:pStyle w:val="BodyText"/>
        <w:spacing w:line="304" w:lineRule="auto" w:before="21"/>
        <w:ind w:left="117" w:right="117" w:firstLine="440"/>
        <w:jc w:val="right"/>
      </w:pPr>
      <w:r>
        <w:rPr>
          <w:color w:val="231F20"/>
        </w:rPr>
        <w:t>为体现合同文本名称与其适用范围和相关内容的协调一致，本次修订将原名称“水利工程</w:t>
      </w:r>
      <w:r>
        <w:rPr>
          <w:color w:val="231F20"/>
          <w:spacing w:val="-4"/>
        </w:rPr>
        <w:t>建设监理合同示范文本”改为“水利工程施工监理合同示范文本”</w:t>
      </w:r>
      <w:r>
        <w:rPr>
          <w:color w:val="231F20"/>
        </w:rPr>
        <w:t>（</w:t>
      </w:r>
      <w:r>
        <w:rPr>
          <w:color w:val="231F20"/>
          <w:spacing w:val="-6"/>
        </w:rPr>
        <w:t>以下简称《合同文本》</w:t>
      </w:r>
      <w:r>
        <w:rPr>
          <w:color w:val="231F20"/>
          <w:spacing w:val="-83"/>
        </w:rPr>
        <w:t>）</w:t>
      </w:r>
      <w:r>
        <w:rPr>
          <w:color w:val="231F20"/>
        </w:rPr>
        <w:t>。本次修订着重修改了委托人和监理人的权利和义务条款，进一步规范了委托人、监理人职</w:t>
      </w:r>
    </w:p>
    <w:p>
      <w:pPr>
        <w:pStyle w:val="BodyText"/>
        <w:spacing w:line="304" w:lineRule="auto" w:before="21"/>
        <w:ind w:left="117"/>
      </w:pPr>
      <w:r>
        <w:rPr>
          <w:color w:val="231F20"/>
        </w:rPr>
        <w:t>责和合同履行中有关问题的处理方式。修订后的《合同文本》将有利于规范当事人双方履行合同的行为，避免因合同条款不完备、不准确等原因产生合同纠纷。</w:t>
      </w:r>
    </w:p>
    <w:p>
      <w:pPr>
        <w:pStyle w:val="BodyText"/>
        <w:spacing w:line="304" w:lineRule="auto" w:before="21"/>
        <w:ind w:left="117" w:right="109" w:firstLine="330"/>
        <w:jc w:val="both"/>
      </w:pPr>
      <w:r>
        <w:rPr>
          <w:color w:val="231F20"/>
          <w:spacing w:val="-23"/>
        </w:rPr>
        <w:t>《合同文本》包括“监理合同书”“通用合同条款”“专用合同条款”“附件”四个部分。《水</w:t>
      </w:r>
      <w:r>
        <w:rPr>
          <w:color w:val="231F20"/>
          <w:spacing w:val="-32"/>
        </w:rPr>
        <w:t>利工程建设监理规定》</w:t>
      </w:r>
      <w:r>
        <w:rPr>
          <w:color w:val="231F20"/>
        </w:rPr>
        <w:t>（</w:t>
      </w:r>
      <w:r>
        <w:rPr>
          <w:color w:val="231F20"/>
          <w:spacing w:val="1"/>
        </w:rPr>
        <w:t>水利部令第 </w:t>
      </w:r>
      <w:r>
        <w:rPr>
          <w:color w:val="231F20"/>
        </w:rPr>
        <w:t>28</w:t>
      </w:r>
      <w:r>
        <w:rPr>
          <w:color w:val="231F20"/>
          <w:spacing w:val="6"/>
        </w:rPr>
        <w:t> 号</w:t>
      </w:r>
      <w:r>
        <w:rPr>
          <w:color w:val="231F20"/>
        </w:rPr>
        <w:t>）规定必须实行施工监理的水利工程建设项目（不包</w:t>
      </w:r>
      <w:r>
        <w:rPr>
          <w:color w:val="231F20"/>
          <w:spacing w:val="0"/>
        </w:rPr>
        <w:t>括水土保持工程）</w:t>
      </w:r>
      <w:r>
        <w:rPr>
          <w:color w:val="231F20"/>
          <w:spacing w:val="-14"/>
        </w:rPr>
        <w:t>应当使用本《合同文本》，其他可参照使用。在使用本《合同文本》时，“监</w:t>
      </w:r>
      <w:r>
        <w:rPr>
          <w:color w:val="231F20"/>
          <w:spacing w:val="0"/>
        </w:rPr>
        <w:t>理合同书”应由委托人与监理人平等协商一致后签署</w:t>
      </w:r>
      <w:r>
        <w:rPr>
          <w:color w:val="231F20"/>
          <w:spacing w:val="-16"/>
        </w:rPr>
        <w:t>；“通用合同条款”“专用合同条款”是一</w:t>
      </w:r>
      <w:r>
        <w:rPr>
          <w:color w:val="231F20"/>
        </w:rPr>
        <w:t>个有机整体</w:t>
      </w:r>
      <w:r>
        <w:rPr>
          <w:color w:val="231F20"/>
          <w:spacing w:val="-18"/>
        </w:rPr>
        <w:t>，“通用合同条款”不得修改</w:t>
      </w:r>
      <w:r>
        <w:rPr>
          <w:color w:val="231F20"/>
          <w:spacing w:val="-15"/>
        </w:rPr>
        <w:t>，“专用合同条款”是针对具体工程项目特定条件对“通</w:t>
      </w:r>
      <w:r>
        <w:rPr>
          <w:color w:val="231F20"/>
          <w:spacing w:val="-9"/>
        </w:rPr>
        <w:t>用合同条款”的补充和具体说明，应根据工程监理实际情况进行修改和补充</w:t>
      </w:r>
      <w:r>
        <w:rPr>
          <w:color w:val="231F20"/>
          <w:spacing w:val="-21"/>
        </w:rPr>
        <w:t>；“附件”所列监理服务的工作内容及相关要求，供委托人和监理人签订合同时参考。</w:t>
      </w:r>
    </w:p>
    <w:p>
      <w:pPr>
        <w:spacing w:after="0" w:line="304" w:lineRule="auto"/>
        <w:jc w:val="both"/>
        <w:sectPr>
          <w:pgSz w:w="11910" w:h="16840"/>
          <w:pgMar w:header="0" w:footer="832" w:top="1580" w:bottom="1020" w:left="1300" w:right="1300"/>
        </w:sectPr>
      </w:pPr>
    </w:p>
    <w:p>
      <w:pPr>
        <w:pStyle w:val="BodyText"/>
        <w:ind w:left="0"/>
        <w:rPr>
          <w:sz w:val="20"/>
        </w:rPr>
      </w:pPr>
    </w:p>
    <w:p>
      <w:pPr>
        <w:pStyle w:val="BodyText"/>
        <w:ind w:left="0"/>
        <w:rPr>
          <w:sz w:val="20"/>
        </w:rPr>
      </w:pPr>
    </w:p>
    <w:p>
      <w:pPr>
        <w:pStyle w:val="Heading1"/>
        <w:ind w:left="3252"/>
        <w:jc w:val="left"/>
      </w:pPr>
      <w:r>
        <w:rPr>
          <w:color w:val="231F20"/>
        </w:rPr>
        <w:t>水利工程施工监理合同</w:t>
      </w:r>
    </w:p>
    <w:p>
      <w:pPr>
        <w:pStyle w:val="BodyText"/>
        <w:spacing w:before="9"/>
        <w:ind w:left="0"/>
        <w:rPr>
          <w:rFonts w:ascii="方正黑体_GBK"/>
          <w:sz w:val="25"/>
        </w:rPr>
      </w:pPr>
    </w:p>
    <w:p>
      <w:pPr>
        <w:pStyle w:val="BodyText"/>
        <w:tabs>
          <w:tab w:pos="3802" w:val="left" w:leader="none"/>
        </w:tabs>
        <w:spacing w:line="304" w:lineRule="auto"/>
        <w:ind w:right="5501"/>
        <w:jc w:val="both"/>
      </w:pPr>
      <w:r>
        <w:rPr>
          <w:color w:val="231F20"/>
        </w:rPr>
        <w:t>委 托</w:t>
      </w:r>
      <w:r>
        <w:rPr>
          <w:color w:val="231F20"/>
          <w:spacing w:val="0"/>
        </w:rPr>
        <w:t> </w:t>
      </w:r>
      <w:r>
        <w:rPr>
          <w:color w:val="231F20"/>
        </w:rPr>
        <w:t>人：</w:t>
        <w:tab/>
        <w:t> 监  理 </w:t>
      </w:r>
      <w:r>
        <w:rPr>
          <w:color w:val="231F20"/>
          <w:spacing w:val="0"/>
        </w:rPr>
        <w:t> </w:t>
      </w:r>
      <w:r>
        <w:rPr>
          <w:color w:val="231F20"/>
        </w:rPr>
        <w:t>人：</w:t>
        <w:tab/>
        <w:t> 合同编号</w:t>
      </w:r>
      <w:r>
        <w:rPr>
          <w:color w:val="231F20"/>
          <w:u w:val="single" w:color="231F20"/>
        </w:rPr>
        <w:t>：</w:t>
        <w:tab/>
        <w:t> </w:t>
      </w:r>
      <w:r>
        <w:rPr>
          <w:color w:val="231F20"/>
        </w:rPr>
        <w:t>合同名称</w:t>
      </w:r>
      <w:r>
        <w:rPr>
          <w:color w:val="231F20"/>
          <w:u w:val="single" w:color="231F20"/>
        </w:rPr>
        <w:t>：</w:t>
        <w:tab/>
      </w:r>
    </w:p>
    <w:p>
      <w:pPr>
        <w:pStyle w:val="BodyText"/>
        <w:spacing w:line="304" w:lineRule="auto" w:before="21"/>
        <w:ind w:left="117" w:right="107" w:firstLine="440"/>
        <w:jc w:val="both"/>
      </w:pPr>
      <w:r>
        <w:rPr>
          <w:color w:val="231F20"/>
          <w:spacing w:val="-10"/>
        </w:rPr>
        <w:t>依据国家有关法律、法规，</w:t>
      </w:r>
      <w:r>
        <w:rPr>
          <w:color w:val="231F20"/>
        </w:rPr>
        <w:t>（</w:t>
      </w:r>
      <w:r>
        <w:rPr>
          <w:color w:val="231F20"/>
          <w:u w:val="single" w:color="231F20"/>
        </w:rPr>
        <w:t>委托人名称</w:t>
      </w:r>
      <w:r>
        <w:rPr>
          <w:color w:val="231F20"/>
          <w:spacing w:val="-149"/>
          <w:u w:val="single" w:color="231F20"/>
        </w:rPr>
        <w:t>）</w:t>
      </w:r>
      <w:r>
        <w:rPr>
          <w:color w:val="231F20"/>
        </w:rPr>
        <w:t>（以下简称委托人</w:t>
      </w:r>
      <w:r>
        <w:rPr>
          <w:color w:val="231F20"/>
          <w:spacing w:val="-106"/>
        </w:rPr>
        <w:t>）</w:t>
      </w:r>
      <w:r>
        <w:rPr>
          <w:color w:val="231F20"/>
          <w:spacing w:val="3"/>
        </w:rPr>
        <w:t>，委托</w:t>
      </w:r>
      <w:r>
        <w:rPr>
          <w:color w:val="231F20"/>
          <w:spacing w:val="3"/>
          <w:u w:val="single" w:color="231F20"/>
        </w:rPr>
        <w:t>（监理人名称</w:t>
      </w:r>
      <w:r>
        <w:rPr>
          <w:color w:val="231F20"/>
          <w:spacing w:val="-106"/>
          <w:u w:val="single" w:color="231F20"/>
        </w:rPr>
        <w:t>）</w:t>
      </w:r>
      <w:r>
        <w:rPr>
          <w:color w:val="231F20"/>
          <w:spacing w:val="3"/>
          <w:u w:val="single" w:color="231F20"/>
        </w:rPr>
        <w:t>（</w:t>
      </w:r>
      <w:r>
        <w:rPr>
          <w:color w:val="231F20"/>
          <w:spacing w:val="3"/>
        </w:rPr>
        <w:t>以下</w:t>
      </w:r>
      <w:r>
        <w:rPr>
          <w:color w:val="231F20"/>
          <w:spacing w:val="5"/>
        </w:rPr>
        <w:t>简称监理人）</w:t>
      </w:r>
      <w:r>
        <w:rPr>
          <w:color w:val="231F20"/>
          <w:spacing w:val="3"/>
        </w:rPr>
        <w:t>提供</w:t>
      </w:r>
      <w:r>
        <w:rPr>
          <w:color w:val="231F20"/>
          <w:spacing w:val="5"/>
          <w:u w:val="single" w:color="231F20"/>
        </w:rPr>
        <w:t>（工程名称）</w:t>
      </w:r>
      <w:r>
        <w:rPr>
          <w:color w:val="231F20"/>
          <w:spacing w:val="3"/>
        </w:rPr>
        <w:t>工程</w:t>
      </w:r>
      <w:r>
        <w:rPr>
          <w:color w:val="231F20"/>
          <w:spacing w:val="5"/>
          <w:u w:val="single" w:color="231F20"/>
        </w:rPr>
        <w:t>（监理项目名称）</w:t>
      </w:r>
      <w:r>
        <w:rPr>
          <w:color w:val="231F20"/>
          <w:spacing w:val="3"/>
        </w:rPr>
        <w:t>监理服务，经双方协商一致，订立本</w:t>
      </w:r>
      <w:r>
        <w:rPr>
          <w:color w:val="231F20"/>
          <w:spacing w:val="2"/>
        </w:rPr>
        <w:t>合同。</w:t>
      </w:r>
    </w:p>
    <w:p>
      <w:pPr>
        <w:pStyle w:val="BodyText"/>
        <w:spacing w:before="21"/>
      </w:pPr>
      <w:r>
        <w:rPr>
          <w:color w:val="231F20"/>
        </w:rPr>
        <w:t>一、工程概况</w:t>
      </w:r>
    </w:p>
    <w:p>
      <w:pPr>
        <w:pStyle w:val="ListParagraph"/>
        <w:numPr>
          <w:ilvl w:val="0"/>
          <w:numId w:val="1"/>
        </w:numPr>
        <w:tabs>
          <w:tab w:pos="776" w:val="left" w:leader="none"/>
          <w:tab w:pos="4020" w:val="left" w:leader="none"/>
        </w:tabs>
        <w:spacing w:line="240" w:lineRule="auto" w:before="89" w:after="0"/>
        <w:ind w:left="557" w:right="0" w:firstLine="0"/>
        <w:jc w:val="left"/>
        <w:rPr>
          <w:sz w:val="22"/>
        </w:rPr>
      </w:pPr>
      <w:r>
        <w:rPr>
          <w:color w:val="231F20"/>
          <w:sz w:val="22"/>
        </w:rPr>
        <w:t>工程名称</w:t>
      </w:r>
      <w:r>
        <w:rPr>
          <w:color w:val="231F20"/>
          <w:sz w:val="22"/>
          <w:u w:val="single" w:color="231F20"/>
        </w:rPr>
        <w:t>：</w:t>
        <w:tab/>
      </w:r>
    </w:p>
    <w:p>
      <w:pPr>
        <w:pStyle w:val="ListParagraph"/>
        <w:numPr>
          <w:ilvl w:val="0"/>
          <w:numId w:val="1"/>
        </w:numPr>
        <w:tabs>
          <w:tab w:pos="776" w:val="left" w:leader="none"/>
          <w:tab w:pos="4020" w:val="left" w:leader="none"/>
        </w:tabs>
        <w:spacing w:line="240" w:lineRule="auto" w:before="89" w:after="0"/>
        <w:ind w:left="557" w:right="0" w:firstLine="0"/>
        <w:jc w:val="left"/>
        <w:rPr>
          <w:sz w:val="22"/>
        </w:rPr>
      </w:pPr>
      <w:r>
        <w:rPr>
          <w:color w:val="231F20"/>
          <w:sz w:val="22"/>
        </w:rPr>
        <w:t>建设地点</w:t>
      </w:r>
      <w:r>
        <w:rPr>
          <w:color w:val="231F20"/>
          <w:sz w:val="22"/>
          <w:u w:val="single" w:color="231F20"/>
        </w:rPr>
        <w:t>：</w:t>
        <w:tab/>
      </w:r>
    </w:p>
    <w:p>
      <w:pPr>
        <w:pStyle w:val="ListParagraph"/>
        <w:numPr>
          <w:ilvl w:val="0"/>
          <w:numId w:val="1"/>
        </w:numPr>
        <w:tabs>
          <w:tab w:pos="776" w:val="left" w:leader="none"/>
          <w:tab w:pos="4185" w:val="left" w:leader="none"/>
        </w:tabs>
        <w:spacing w:line="240" w:lineRule="auto" w:before="89" w:after="0"/>
        <w:ind w:left="557" w:right="0" w:firstLine="0"/>
        <w:jc w:val="left"/>
        <w:rPr>
          <w:sz w:val="22"/>
        </w:rPr>
      </w:pPr>
      <w:r>
        <w:rPr>
          <w:color w:val="231F20"/>
          <w:sz w:val="22"/>
        </w:rPr>
        <w:t>工程等别（级</w:t>
      </w:r>
      <w:r>
        <w:rPr>
          <w:color w:val="231F20"/>
          <w:spacing w:val="-28"/>
          <w:sz w:val="22"/>
        </w:rPr>
        <w:t>）：</w:t>
        <w:tab/>
      </w:r>
    </w:p>
    <w:p>
      <w:pPr>
        <w:pStyle w:val="ListParagraph"/>
        <w:numPr>
          <w:ilvl w:val="0"/>
          <w:numId w:val="1"/>
        </w:numPr>
        <w:tabs>
          <w:tab w:pos="776" w:val="left" w:leader="none"/>
          <w:tab w:pos="5285" w:val="left" w:leader="none"/>
        </w:tabs>
        <w:spacing w:line="240" w:lineRule="auto" w:before="89" w:after="0"/>
        <w:ind w:left="557" w:right="0" w:firstLine="0"/>
        <w:jc w:val="left"/>
        <w:rPr>
          <w:sz w:val="22"/>
        </w:rPr>
      </w:pPr>
      <w:r>
        <w:rPr>
          <w:color w:val="231F20"/>
          <w:sz w:val="22"/>
        </w:rPr>
        <w:t>工程总投资（人民币，下同</w:t>
      </w:r>
      <w:r>
        <w:rPr>
          <w:color w:val="231F20"/>
          <w:spacing w:val="-28"/>
          <w:sz w:val="22"/>
        </w:rPr>
        <w:t>）：</w:t>
        <w:tab/>
      </w:r>
      <w:r>
        <w:rPr>
          <w:color w:val="231F20"/>
          <w:sz w:val="22"/>
        </w:rPr>
        <w:t>万元</w:t>
      </w:r>
    </w:p>
    <w:p>
      <w:pPr>
        <w:pStyle w:val="ListParagraph"/>
        <w:numPr>
          <w:ilvl w:val="0"/>
          <w:numId w:val="1"/>
        </w:numPr>
        <w:tabs>
          <w:tab w:pos="776" w:val="left" w:leader="none"/>
          <w:tab w:pos="3580" w:val="left" w:leader="none"/>
        </w:tabs>
        <w:spacing w:line="304" w:lineRule="auto" w:before="89" w:after="0"/>
        <w:ind w:left="557" w:right="5722" w:firstLine="0"/>
        <w:jc w:val="left"/>
        <w:rPr>
          <w:sz w:val="22"/>
        </w:rPr>
      </w:pPr>
      <w:r>
        <w:rPr>
          <w:color w:val="231F20"/>
          <w:sz w:val="22"/>
        </w:rPr>
        <w:t>工期</w:t>
      </w:r>
      <w:r>
        <w:rPr>
          <w:color w:val="231F20"/>
          <w:sz w:val="22"/>
          <w:u w:val="single" w:color="231F20"/>
        </w:rPr>
        <w:t>：</w:t>
        <w:tab/>
      </w:r>
      <w:r>
        <w:rPr>
          <w:color w:val="231F20"/>
          <w:sz w:val="22"/>
        </w:rPr>
        <w:t> 二、监理范围</w:t>
      </w:r>
    </w:p>
    <w:p>
      <w:pPr>
        <w:pStyle w:val="ListParagraph"/>
        <w:numPr>
          <w:ilvl w:val="0"/>
          <w:numId w:val="2"/>
        </w:numPr>
        <w:tabs>
          <w:tab w:pos="776" w:val="left" w:leader="none"/>
          <w:tab w:pos="4460" w:val="left" w:leader="none"/>
        </w:tabs>
        <w:spacing w:line="240" w:lineRule="auto" w:before="21" w:after="0"/>
        <w:ind w:left="557" w:right="0" w:firstLine="0"/>
        <w:jc w:val="left"/>
        <w:rPr>
          <w:sz w:val="22"/>
        </w:rPr>
      </w:pPr>
      <w:r>
        <w:rPr>
          <w:color w:val="231F20"/>
          <w:sz w:val="22"/>
        </w:rPr>
        <w:t>监理项目名称</w:t>
      </w:r>
      <w:r>
        <w:rPr>
          <w:color w:val="231F20"/>
          <w:sz w:val="22"/>
          <w:u w:val="single" w:color="231F20"/>
        </w:rPr>
        <w:t>：</w:t>
        <w:tab/>
      </w:r>
    </w:p>
    <w:p>
      <w:pPr>
        <w:pStyle w:val="ListParagraph"/>
        <w:numPr>
          <w:ilvl w:val="0"/>
          <w:numId w:val="2"/>
        </w:numPr>
        <w:tabs>
          <w:tab w:pos="776" w:val="left" w:leader="none"/>
          <w:tab w:pos="6000" w:val="left" w:leader="none"/>
        </w:tabs>
        <w:spacing w:line="240" w:lineRule="auto" w:before="89" w:after="0"/>
        <w:ind w:left="557" w:right="0" w:firstLine="0"/>
        <w:jc w:val="left"/>
        <w:rPr>
          <w:sz w:val="22"/>
        </w:rPr>
      </w:pPr>
      <w:r>
        <w:rPr>
          <w:color w:val="231F20"/>
          <w:sz w:val="22"/>
        </w:rPr>
        <w:t>监理项目内容及主要特性参数</w:t>
      </w:r>
      <w:r>
        <w:rPr>
          <w:color w:val="231F20"/>
          <w:sz w:val="22"/>
          <w:u w:val="single" w:color="231F20"/>
        </w:rPr>
        <w:t>：</w:t>
        <w:tab/>
      </w:r>
    </w:p>
    <w:p>
      <w:pPr>
        <w:pStyle w:val="ListParagraph"/>
        <w:numPr>
          <w:ilvl w:val="0"/>
          <w:numId w:val="2"/>
        </w:numPr>
        <w:tabs>
          <w:tab w:pos="776" w:val="left" w:leader="none"/>
          <w:tab w:pos="4460" w:val="left" w:leader="none"/>
        </w:tabs>
        <w:spacing w:line="240" w:lineRule="auto" w:before="89" w:after="0"/>
        <w:ind w:left="557" w:right="0" w:firstLine="0"/>
        <w:jc w:val="left"/>
        <w:rPr>
          <w:sz w:val="22"/>
        </w:rPr>
      </w:pPr>
      <w:r>
        <w:rPr>
          <w:color w:val="231F20"/>
          <w:sz w:val="22"/>
        </w:rPr>
        <w:t>监理项目投资</w:t>
      </w:r>
      <w:r>
        <w:rPr>
          <w:color w:val="231F20"/>
          <w:sz w:val="22"/>
          <w:u w:val="single" w:color="231F20"/>
        </w:rPr>
        <w:t>：</w:t>
        <w:tab/>
      </w:r>
    </w:p>
    <w:p>
      <w:pPr>
        <w:pStyle w:val="ListParagraph"/>
        <w:numPr>
          <w:ilvl w:val="0"/>
          <w:numId w:val="2"/>
        </w:numPr>
        <w:tabs>
          <w:tab w:pos="776" w:val="left" w:leader="none"/>
          <w:tab w:pos="2150" w:val="left" w:leader="none"/>
          <w:tab w:pos="4460" w:val="left" w:leader="none"/>
        </w:tabs>
        <w:spacing w:line="304" w:lineRule="auto" w:before="89" w:after="0"/>
        <w:ind w:left="557" w:right="4842" w:firstLine="0"/>
        <w:jc w:val="left"/>
        <w:rPr>
          <w:sz w:val="22"/>
        </w:rPr>
      </w:pPr>
      <w:r>
        <w:rPr>
          <w:color w:val="231F20"/>
          <w:sz w:val="22"/>
        </w:rPr>
        <w:t>监理阶段</w:t>
      </w:r>
      <w:r>
        <w:rPr>
          <w:color w:val="231F20"/>
          <w:sz w:val="22"/>
          <w:u w:val="single" w:color="231F20"/>
        </w:rPr>
        <w:t>：</w:t>
        <w:tab/>
        <w:t>（施工期、保修期）</w:t>
        <w:tab/>
      </w:r>
      <w:r>
        <w:rPr>
          <w:color w:val="231F20"/>
          <w:sz w:val="22"/>
        </w:rPr>
        <w:t> 三、监理服务内容、期限</w:t>
      </w:r>
    </w:p>
    <w:p>
      <w:pPr>
        <w:pStyle w:val="ListParagraph"/>
        <w:numPr>
          <w:ilvl w:val="0"/>
          <w:numId w:val="3"/>
        </w:numPr>
        <w:tabs>
          <w:tab w:pos="776" w:val="left" w:leader="none"/>
        </w:tabs>
        <w:spacing w:line="240" w:lineRule="auto" w:before="21" w:after="0"/>
        <w:ind w:left="775" w:right="0" w:hanging="218"/>
        <w:jc w:val="left"/>
        <w:rPr>
          <w:sz w:val="22"/>
        </w:rPr>
      </w:pPr>
      <w:r>
        <w:rPr>
          <w:color w:val="231F20"/>
          <w:spacing w:val="-7"/>
          <w:sz w:val="22"/>
        </w:rPr>
        <w:t>监理服务内容：按专用合同条款约定。</w:t>
      </w:r>
    </w:p>
    <w:p>
      <w:pPr>
        <w:pStyle w:val="ListParagraph"/>
        <w:numPr>
          <w:ilvl w:val="0"/>
          <w:numId w:val="3"/>
        </w:numPr>
        <w:tabs>
          <w:tab w:pos="776" w:val="left" w:leader="none"/>
        </w:tabs>
        <w:spacing w:line="240" w:lineRule="auto" w:before="89" w:after="0"/>
        <w:ind w:left="775" w:right="0" w:hanging="218"/>
        <w:jc w:val="left"/>
        <w:rPr>
          <w:sz w:val="22"/>
        </w:rPr>
      </w:pPr>
      <w:r>
        <w:rPr>
          <w:color w:val="231F20"/>
          <w:sz w:val="22"/>
        </w:rPr>
        <w:t>监理服务期限：</w:t>
      </w:r>
    </w:p>
    <w:p>
      <w:pPr>
        <w:pStyle w:val="BodyText"/>
        <w:tabs>
          <w:tab w:pos="1657" w:val="left" w:leader="none"/>
          <w:tab w:pos="2317" w:val="left" w:leader="none"/>
          <w:tab w:pos="2977" w:val="left" w:leader="none"/>
          <w:tab w:pos="4297" w:val="left" w:leader="none"/>
          <w:tab w:pos="4957" w:val="left" w:leader="none"/>
          <w:tab w:pos="5617" w:val="left" w:leader="none"/>
        </w:tabs>
        <w:spacing w:line="304" w:lineRule="auto" w:before="89"/>
        <w:ind w:right="3246"/>
      </w:pPr>
      <w:r>
        <w:rPr>
          <w:color w:val="231F20"/>
        </w:rPr>
        <w:t>自</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日至</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日。四、监理服务酬金</w:t>
      </w:r>
    </w:p>
    <w:p>
      <w:pPr>
        <w:pStyle w:val="BodyText"/>
        <w:tabs>
          <w:tab w:pos="4249" w:val="left" w:leader="none"/>
        </w:tabs>
        <w:spacing w:line="304" w:lineRule="auto" w:before="21"/>
        <w:ind w:left="117" w:right="108" w:firstLine="440"/>
      </w:pPr>
      <w:r>
        <w:rPr>
          <w:color w:val="231F20"/>
          <w:spacing w:val="5"/>
        </w:rPr>
        <w:t>监理正常服务酬金</w:t>
      </w:r>
      <w:r>
        <w:rPr>
          <w:color w:val="231F20"/>
        </w:rPr>
        <w:t>为</w:t>
      </w:r>
      <w:r>
        <w:rPr>
          <w:color w:val="231F20"/>
          <w:spacing w:val="5"/>
        </w:rPr>
        <w:t>（大写</w:t>
      </w:r>
      <w:r>
        <w:rPr>
          <w:color w:val="231F20"/>
        </w:rPr>
        <w:t>）</w:t>
        <w:tab/>
        <w:t>元</w:t>
      </w:r>
      <w:r>
        <w:rPr>
          <w:color w:val="231F20"/>
          <w:spacing w:val="5"/>
        </w:rPr>
        <w:t>，由委托人按专用合同条款约定的方</w:t>
      </w:r>
      <w:r>
        <w:rPr>
          <w:color w:val="231F20"/>
        </w:rPr>
        <w:t>式</w:t>
      </w:r>
      <w:r>
        <w:rPr>
          <w:color w:val="231F20"/>
          <w:spacing w:val="5"/>
        </w:rPr>
        <w:t>、时间向</w:t>
      </w:r>
      <w:r>
        <w:rPr>
          <w:color w:val="231F20"/>
        </w:rPr>
        <w:t>监理人支付。</w:t>
      </w:r>
    </w:p>
    <w:p>
      <w:pPr>
        <w:pStyle w:val="BodyText"/>
        <w:spacing w:before="21"/>
      </w:pPr>
      <w:r>
        <w:rPr>
          <w:color w:val="231F20"/>
        </w:rPr>
        <w:t>五、监理合同的组成文件及解释顺序</w:t>
      </w:r>
    </w:p>
    <w:p>
      <w:pPr>
        <w:pStyle w:val="ListParagraph"/>
        <w:numPr>
          <w:ilvl w:val="0"/>
          <w:numId w:val="4"/>
        </w:numPr>
        <w:tabs>
          <w:tab w:pos="776" w:val="left" w:leader="none"/>
        </w:tabs>
        <w:spacing w:line="240" w:lineRule="auto" w:before="89" w:after="0"/>
        <w:ind w:left="775" w:right="0" w:hanging="218"/>
        <w:jc w:val="left"/>
        <w:rPr>
          <w:sz w:val="22"/>
        </w:rPr>
      </w:pPr>
      <w:r>
        <w:rPr>
          <w:color w:val="231F20"/>
          <w:sz w:val="22"/>
        </w:rPr>
        <w:t>监理合同书（含补充协议</w:t>
      </w:r>
      <w:r>
        <w:rPr>
          <w:color w:val="231F20"/>
          <w:spacing w:val="-28"/>
          <w:sz w:val="22"/>
        </w:rPr>
        <w:t>）；</w:t>
      </w:r>
    </w:p>
    <w:p>
      <w:pPr>
        <w:pStyle w:val="ListParagraph"/>
        <w:numPr>
          <w:ilvl w:val="0"/>
          <w:numId w:val="4"/>
        </w:numPr>
        <w:tabs>
          <w:tab w:pos="776" w:val="left" w:leader="none"/>
        </w:tabs>
        <w:spacing w:line="240" w:lineRule="auto" w:before="89" w:after="0"/>
        <w:ind w:left="775" w:right="0" w:hanging="218"/>
        <w:jc w:val="left"/>
        <w:rPr>
          <w:sz w:val="22"/>
        </w:rPr>
      </w:pPr>
      <w:r>
        <w:rPr>
          <w:color w:val="231F20"/>
          <w:sz w:val="22"/>
        </w:rPr>
        <w:t>中标通知书；</w:t>
      </w:r>
    </w:p>
    <w:p>
      <w:pPr>
        <w:pStyle w:val="ListParagraph"/>
        <w:numPr>
          <w:ilvl w:val="0"/>
          <w:numId w:val="4"/>
        </w:numPr>
        <w:tabs>
          <w:tab w:pos="776" w:val="left" w:leader="none"/>
        </w:tabs>
        <w:spacing w:line="240" w:lineRule="auto" w:before="89" w:after="0"/>
        <w:ind w:left="775" w:right="0" w:hanging="218"/>
        <w:jc w:val="left"/>
        <w:rPr>
          <w:sz w:val="22"/>
        </w:rPr>
      </w:pPr>
      <w:r>
        <w:rPr>
          <w:color w:val="231F20"/>
          <w:sz w:val="22"/>
        </w:rPr>
        <w:t>投标报价书；</w:t>
      </w:r>
    </w:p>
    <w:p>
      <w:pPr>
        <w:spacing w:after="0" w:line="240" w:lineRule="auto"/>
        <w:jc w:val="left"/>
        <w:rPr>
          <w:sz w:val="22"/>
        </w:rPr>
        <w:sectPr>
          <w:pgSz w:w="11910" w:h="16840"/>
          <w:pgMar w:header="0" w:footer="832" w:top="1580" w:bottom="1020" w:left="1300" w:right="1300"/>
        </w:sectPr>
      </w:pPr>
    </w:p>
    <w:p>
      <w:pPr>
        <w:pStyle w:val="ListParagraph"/>
        <w:numPr>
          <w:ilvl w:val="0"/>
          <w:numId w:val="4"/>
        </w:numPr>
        <w:tabs>
          <w:tab w:pos="776" w:val="left" w:leader="none"/>
        </w:tabs>
        <w:spacing w:line="240" w:lineRule="auto" w:before="24" w:after="0"/>
        <w:ind w:left="775" w:right="0" w:hanging="218"/>
        <w:jc w:val="both"/>
        <w:rPr>
          <w:sz w:val="22"/>
        </w:rPr>
      </w:pPr>
      <w:r>
        <w:rPr>
          <w:color w:val="231F20"/>
          <w:sz w:val="22"/>
        </w:rPr>
        <w:t>专用合同条款；</w:t>
      </w:r>
    </w:p>
    <w:p>
      <w:pPr>
        <w:pStyle w:val="ListParagraph"/>
        <w:numPr>
          <w:ilvl w:val="0"/>
          <w:numId w:val="4"/>
        </w:numPr>
        <w:tabs>
          <w:tab w:pos="776" w:val="left" w:leader="none"/>
        </w:tabs>
        <w:spacing w:line="240" w:lineRule="auto" w:before="89" w:after="0"/>
        <w:ind w:left="775" w:right="0" w:hanging="218"/>
        <w:jc w:val="both"/>
        <w:rPr>
          <w:sz w:val="22"/>
        </w:rPr>
      </w:pPr>
      <w:r>
        <w:rPr>
          <w:color w:val="231F20"/>
          <w:sz w:val="22"/>
        </w:rPr>
        <w:t>通用合同条款；</w:t>
      </w:r>
    </w:p>
    <w:p>
      <w:pPr>
        <w:pStyle w:val="ListParagraph"/>
        <w:numPr>
          <w:ilvl w:val="0"/>
          <w:numId w:val="4"/>
        </w:numPr>
        <w:tabs>
          <w:tab w:pos="776" w:val="left" w:leader="none"/>
        </w:tabs>
        <w:spacing w:line="240" w:lineRule="auto" w:before="89" w:after="0"/>
        <w:ind w:left="775" w:right="0" w:hanging="218"/>
        <w:jc w:val="both"/>
        <w:rPr>
          <w:sz w:val="22"/>
        </w:rPr>
      </w:pPr>
      <w:r>
        <w:rPr>
          <w:color w:val="231F20"/>
          <w:sz w:val="22"/>
        </w:rPr>
        <w:t>监理大纲；</w:t>
      </w:r>
    </w:p>
    <w:p>
      <w:pPr>
        <w:pStyle w:val="ListParagraph"/>
        <w:numPr>
          <w:ilvl w:val="0"/>
          <w:numId w:val="4"/>
        </w:numPr>
        <w:tabs>
          <w:tab w:pos="776" w:val="left" w:leader="none"/>
        </w:tabs>
        <w:spacing w:line="240" w:lineRule="auto" w:before="89" w:after="0"/>
        <w:ind w:left="775" w:right="0" w:hanging="218"/>
        <w:jc w:val="both"/>
        <w:rPr>
          <w:sz w:val="22"/>
        </w:rPr>
      </w:pPr>
      <w:r>
        <w:rPr>
          <w:color w:val="231F20"/>
          <w:sz w:val="22"/>
        </w:rPr>
        <w:t>双方确认需进入合同的其他文件。</w:t>
      </w:r>
    </w:p>
    <w:p>
      <w:pPr>
        <w:pStyle w:val="BodyText"/>
        <w:spacing w:before="89"/>
        <w:jc w:val="both"/>
      </w:pPr>
      <w:r>
        <w:rPr>
          <w:color w:val="231F20"/>
        </w:rPr>
        <w:t>六、本合同书经双方法定代表人或其授权代表人签名并加盖本单位公章后生效。</w:t>
      </w:r>
    </w:p>
    <w:p>
      <w:pPr>
        <w:pStyle w:val="BodyText"/>
        <w:tabs>
          <w:tab w:pos="1217" w:val="left" w:leader="none"/>
          <w:tab w:pos="3197" w:val="left" w:leader="none"/>
          <w:tab w:pos="8297" w:val="left" w:leader="none"/>
        </w:tabs>
        <w:spacing w:line="304" w:lineRule="auto" w:before="89"/>
        <w:ind w:left="117" w:right="111" w:firstLine="440"/>
      </w:pPr>
      <w:r>
        <w:rPr>
          <w:color w:val="231F20"/>
        </w:rPr>
        <w:t>七、本合同书正本一式贰份，具有同等法律效力，由双方各执一份</w:t>
      </w:r>
      <w:r>
        <w:rPr>
          <w:color w:val="231F20"/>
          <w:spacing w:val="-52"/>
        </w:rPr>
        <w:t>；</w:t>
      </w:r>
      <w:r>
        <w:rPr>
          <w:color w:val="231F20"/>
        </w:rPr>
        <w:t>副本</w:t>
      </w:r>
      <w:r>
        <w:rPr>
          <w:color w:val="231F20"/>
          <w:u w:val="single" w:color="231F20"/>
        </w:rPr>
        <w:t> </w:t>
        <w:tab/>
      </w:r>
      <w:r>
        <w:rPr>
          <w:color w:val="231F20"/>
        </w:rPr>
        <w:t>份，委托 人执</w:t>
      </w:r>
      <w:r>
        <w:rPr>
          <w:color w:val="231F20"/>
          <w:u w:val="single" w:color="231F20"/>
        </w:rPr>
        <w:t> </w:t>
        <w:tab/>
      </w:r>
      <w:r>
        <w:rPr>
          <w:color w:val="231F20"/>
        </w:rPr>
        <w:t>份，监理人执</w:t>
      </w:r>
      <w:r>
        <w:rPr>
          <w:color w:val="231F20"/>
          <w:u w:val="single" w:color="231F20"/>
        </w:rPr>
        <w:t> </w:t>
        <w:tab/>
      </w:r>
      <w:r>
        <w:rPr>
          <w:color w:val="231F20"/>
        </w:rPr>
        <w:t>份。</w:t>
      </w:r>
    </w:p>
    <w:p>
      <w:pPr>
        <w:pStyle w:val="BodyText"/>
        <w:spacing w:before="5"/>
        <w:ind w:left="0"/>
        <w:rPr>
          <w:sz w:val="29"/>
        </w:rPr>
      </w:pPr>
    </w:p>
    <w:p>
      <w:pPr>
        <w:pStyle w:val="BodyText"/>
        <w:tabs>
          <w:tab w:pos="1766" w:val="left" w:leader="none"/>
          <w:tab w:pos="3196" w:val="left" w:leader="none"/>
          <w:tab w:pos="4617" w:val="left" w:leader="none"/>
          <w:tab w:pos="5826" w:val="left" w:leader="none"/>
          <w:tab w:pos="7476" w:val="left" w:leader="none"/>
        </w:tabs>
      </w:pPr>
      <w:r>
        <w:rPr>
          <w:color w:val="231F20"/>
        </w:rPr>
        <w:t>委托人</w:t>
      </w:r>
      <w:r>
        <w:rPr>
          <w:color w:val="231F20"/>
          <w:u w:val="single" w:color="231F20"/>
        </w:rPr>
        <w:t>：</w:t>
        <w:tab/>
        <w:t>（盖章）</w:t>
        <w:tab/>
      </w:r>
      <w:r>
        <w:rPr>
          <w:color w:val="231F20"/>
        </w:rPr>
        <w:tab/>
        <w:t>监理人</w:t>
      </w:r>
      <w:r>
        <w:rPr>
          <w:color w:val="231F20"/>
          <w:u w:val="single" w:color="231F20"/>
        </w:rPr>
        <w:t>：</w:t>
        <w:tab/>
        <w:t>（盖章）</w:t>
        <w:tab/>
      </w:r>
    </w:p>
    <w:p>
      <w:pPr>
        <w:pStyle w:val="BodyText"/>
        <w:spacing w:before="13"/>
        <w:ind w:left="0"/>
        <w:rPr>
          <w:sz w:val="33"/>
        </w:rPr>
      </w:pPr>
    </w:p>
    <w:p>
      <w:pPr>
        <w:pStyle w:val="BodyText"/>
        <w:tabs>
          <w:tab w:pos="3362" w:val="left" w:leader="none"/>
          <w:tab w:pos="4617" w:val="left" w:leader="none"/>
          <w:tab w:pos="7422" w:val="left" w:leader="none"/>
        </w:tabs>
        <w:spacing w:line="304" w:lineRule="auto"/>
        <w:ind w:right="1881"/>
        <w:jc w:val="both"/>
      </w:pPr>
      <w:r>
        <w:rPr>
          <w:color w:val="231F20"/>
        </w:rPr>
        <w:t>法定代表人</w:t>
      </w:r>
      <w:r>
        <w:rPr>
          <w:color w:val="231F20"/>
          <w:u w:val="single" w:color="231F20"/>
        </w:rPr>
        <w:t>：     </w:t>
      </w:r>
      <w:r>
        <w:rPr>
          <w:color w:val="231F20"/>
          <w:spacing w:val="2"/>
          <w:u w:val="single" w:color="231F20"/>
        </w:rPr>
        <w:t> </w:t>
      </w:r>
      <w:r>
        <w:rPr>
          <w:color w:val="231F20"/>
          <w:u w:val="single" w:color="231F20"/>
        </w:rPr>
        <w:t>（签名）</w:t>
      </w:r>
      <w:r>
        <w:rPr>
          <w:color w:val="231F20"/>
        </w:rPr>
        <w:tab/>
        <w:tab/>
        <w:t>法定代表人</w:t>
      </w:r>
      <w:r>
        <w:rPr>
          <w:color w:val="231F20"/>
          <w:u w:val="single" w:color="231F20"/>
        </w:rPr>
        <w:t>：    </w:t>
      </w:r>
      <w:r>
        <w:rPr>
          <w:color w:val="231F20"/>
          <w:spacing w:val="2"/>
          <w:u w:val="single" w:color="231F20"/>
        </w:rPr>
        <w:t> </w:t>
      </w:r>
      <w:r>
        <w:rPr>
          <w:color w:val="231F20"/>
          <w:u w:val="single" w:color="231F20"/>
        </w:rPr>
        <w:t>（签名）     </w:t>
      </w:r>
      <w:r>
        <w:rPr>
          <w:color w:val="231F20"/>
          <w:spacing w:val="5"/>
          <w:u w:val="single" w:color="231F20"/>
        </w:rPr>
        <w:t> </w:t>
      </w:r>
      <w:r>
        <w:rPr>
          <w:color w:val="231F20"/>
        </w:rPr>
        <w:t>或授权代表人</w:t>
      </w:r>
      <w:r>
        <w:rPr>
          <w:color w:val="231F20"/>
          <w:u w:val="single" w:color="231F20"/>
        </w:rPr>
        <w:t>： （签名）</w:t>
      </w:r>
      <w:r>
        <w:rPr>
          <w:color w:val="231F20"/>
        </w:rPr>
        <w:tab/>
        <w:t>或授权代表人</w:t>
      </w:r>
      <w:r>
        <w:rPr>
          <w:color w:val="231F20"/>
          <w:u w:val="single" w:color="231F20"/>
        </w:rPr>
        <w:t>：    </w:t>
      </w:r>
      <w:r>
        <w:rPr>
          <w:color w:val="231F20"/>
          <w:spacing w:val="2"/>
          <w:u w:val="single" w:color="231F20"/>
        </w:rPr>
        <w:t> </w:t>
      </w:r>
      <w:r>
        <w:rPr>
          <w:color w:val="231F20"/>
          <w:u w:val="single" w:color="231F20"/>
        </w:rPr>
        <w:t>（签名） </w:t>
      </w:r>
      <w:r>
        <w:rPr>
          <w:color w:val="231F20"/>
          <w:spacing w:val="0"/>
          <w:u w:val="single" w:color="231F20"/>
        </w:rPr>
        <w:t> </w:t>
      </w:r>
      <w:r>
        <w:rPr>
          <w:color w:val="231F20"/>
        </w:rPr>
        <w:t>                    单位地址</w:t>
      </w:r>
      <w:r>
        <w:rPr>
          <w:color w:val="231F20"/>
          <w:u w:val="single" w:color="231F20"/>
        </w:rPr>
        <w:t>：</w:t>
        <w:tab/>
      </w:r>
      <w:r>
        <w:rPr>
          <w:color w:val="231F20"/>
        </w:rPr>
        <w:tab/>
        <w:t>单位地址</w:t>
      </w:r>
      <w:r>
        <w:rPr>
          <w:color w:val="231F20"/>
          <w:u w:val="single" w:color="231F20"/>
        </w:rPr>
        <w:t>：</w:t>
        <w:tab/>
        <w:t> </w:t>
      </w:r>
      <w:r>
        <w:rPr>
          <w:color w:val="231F20"/>
        </w:rPr>
        <w:t>邮政编码</w:t>
      </w:r>
      <w:r>
        <w:rPr>
          <w:color w:val="231F20"/>
          <w:u w:val="single" w:color="231F20"/>
        </w:rPr>
        <w:t>：</w:t>
        <w:tab/>
      </w:r>
      <w:r>
        <w:rPr>
          <w:color w:val="231F20"/>
        </w:rPr>
        <w:tab/>
        <w:t>邮政编码</w:t>
      </w:r>
      <w:r>
        <w:rPr>
          <w:color w:val="231F20"/>
          <w:u w:val="single" w:color="231F20"/>
        </w:rPr>
        <w:t>：</w:t>
        <w:tab/>
        <w:t> </w:t>
      </w:r>
      <w:r>
        <w:rPr>
          <w:color w:val="231F20"/>
        </w:rPr>
        <w:t>电       </w:t>
      </w:r>
      <w:r>
        <w:rPr>
          <w:color w:val="231F20"/>
          <w:spacing w:val="5"/>
        </w:rPr>
        <w:t> </w:t>
      </w:r>
      <w:r>
        <w:rPr>
          <w:color w:val="231F20"/>
        </w:rPr>
        <w:t>话</w:t>
      </w:r>
      <w:r>
        <w:rPr>
          <w:color w:val="231F20"/>
          <w:u w:val="single" w:color="231F20"/>
        </w:rPr>
        <w:t>：</w:t>
        <w:tab/>
      </w:r>
      <w:r>
        <w:rPr>
          <w:color w:val="231F20"/>
        </w:rPr>
        <w:tab/>
        <w:t>电       </w:t>
      </w:r>
      <w:r>
        <w:rPr>
          <w:color w:val="231F20"/>
          <w:spacing w:val="5"/>
        </w:rPr>
        <w:t> </w:t>
      </w:r>
      <w:r>
        <w:rPr>
          <w:color w:val="231F20"/>
        </w:rPr>
        <w:t>话</w:t>
      </w:r>
      <w:r>
        <w:rPr>
          <w:color w:val="231F20"/>
          <w:u w:val="single" w:color="231F20"/>
        </w:rPr>
        <w:t>：</w:t>
        <w:tab/>
        <w:t> </w:t>
      </w:r>
      <w:r>
        <w:rPr>
          <w:color w:val="231F20"/>
        </w:rPr>
        <w:t>电子信箱</w:t>
      </w:r>
      <w:r>
        <w:rPr>
          <w:color w:val="231F20"/>
          <w:u w:val="single" w:color="231F20"/>
        </w:rPr>
        <w:t>：</w:t>
        <w:tab/>
      </w:r>
      <w:r>
        <w:rPr>
          <w:color w:val="231F20"/>
        </w:rPr>
        <w:tab/>
        <w:t>电子信箱</w:t>
      </w:r>
      <w:r>
        <w:rPr>
          <w:color w:val="231F20"/>
          <w:u w:val="single" w:color="231F20"/>
        </w:rPr>
        <w:t>：</w:t>
        <w:tab/>
        <w:t> </w:t>
      </w:r>
      <w:r>
        <w:rPr>
          <w:color w:val="231F20"/>
        </w:rPr>
        <w:t>传       </w:t>
      </w:r>
      <w:r>
        <w:rPr>
          <w:color w:val="231F20"/>
          <w:spacing w:val="5"/>
        </w:rPr>
        <w:t> </w:t>
      </w:r>
      <w:r>
        <w:rPr>
          <w:color w:val="231F20"/>
        </w:rPr>
        <w:t>真</w:t>
      </w:r>
      <w:r>
        <w:rPr>
          <w:color w:val="231F20"/>
          <w:u w:val="single" w:color="231F20"/>
        </w:rPr>
        <w:t>：</w:t>
        <w:tab/>
      </w:r>
      <w:r>
        <w:rPr>
          <w:color w:val="231F20"/>
        </w:rPr>
        <w:tab/>
        <w:t>传       </w:t>
      </w:r>
      <w:r>
        <w:rPr>
          <w:color w:val="231F20"/>
          <w:spacing w:val="5"/>
        </w:rPr>
        <w:t> </w:t>
      </w:r>
      <w:r>
        <w:rPr>
          <w:color w:val="231F20"/>
        </w:rPr>
        <w:t>真</w:t>
      </w:r>
      <w:r>
        <w:rPr>
          <w:color w:val="231F20"/>
          <w:u w:val="single" w:color="231F20"/>
        </w:rPr>
        <w:t>：</w:t>
        <w:tab/>
        <w:t> </w:t>
      </w:r>
      <w:r>
        <w:rPr>
          <w:color w:val="231F20"/>
        </w:rPr>
        <w:t>开户银行</w:t>
      </w:r>
      <w:r>
        <w:rPr>
          <w:color w:val="231F20"/>
          <w:u w:val="single" w:color="231F20"/>
        </w:rPr>
        <w:t>：</w:t>
        <w:tab/>
      </w:r>
      <w:r>
        <w:rPr>
          <w:color w:val="231F20"/>
        </w:rPr>
        <w:tab/>
        <w:t>开户银行</w:t>
      </w:r>
      <w:r>
        <w:rPr>
          <w:color w:val="231F20"/>
          <w:u w:val="single" w:color="231F20"/>
        </w:rPr>
        <w:t>：</w:t>
        <w:tab/>
        <w:t> </w:t>
      </w:r>
      <w:r>
        <w:rPr>
          <w:color w:val="231F20"/>
        </w:rPr>
        <w:t>账       </w:t>
      </w:r>
      <w:r>
        <w:rPr>
          <w:color w:val="231F20"/>
          <w:spacing w:val="5"/>
        </w:rPr>
        <w:t> </w:t>
      </w:r>
      <w:r>
        <w:rPr>
          <w:color w:val="231F20"/>
        </w:rPr>
        <w:t>号</w:t>
      </w:r>
      <w:r>
        <w:rPr>
          <w:color w:val="231F20"/>
          <w:u w:val="single" w:color="231F20"/>
        </w:rPr>
        <w:t>：</w:t>
        <w:tab/>
      </w:r>
      <w:r>
        <w:rPr>
          <w:color w:val="231F20"/>
        </w:rPr>
        <w:tab/>
        <w:t>账       </w:t>
      </w:r>
      <w:r>
        <w:rPr>
          <w:color w:val="231F20"/>
          <w:spacing w:val="5"/>
        </w:rPr>
        <w:t> </w:t>
      </w:r>
      <w:r>
        <w:rPr>
          <w:color w:val="231F20"/>
        </w:rPr>
        <w:t>号</w:t>
      </w:r>
      <w:r>
        <w:rPr>
          <w:color w:val="231F20"/>
          <w:u w:val="single" w:color="231F20"/>
        </w:rPr>
        <w:t>：</w:t>
        <w:tab/>
        <w:t> </w:t>
      </w:r>
      <w:r>
        <w:rPr>
          <w:color w:val="231F20"/>
        </w:rPr>
        <w:t>签订地点</w:t>
      </w:r>
      <w:r>
        <w:rPr>
          <w:color w:val="231F20"/>
          <w:u w:val="single" w:color="231F20"/>
        </w:rPr>
        <w:t>：</w:t>
        <w:tab/>
      </w:r>
    </w:p>
    <w:p>
      <w:pPr>
        <w:pStyle w:val="BodyText"/>
        <w:tabs>
          <w:tab w:pos="2482" w:val="left" w:leader="none"/>
        </w:tabs>
        <w:spacing w:before="21"/>
        <w:jc w:val="both"/>
      </w:pPr>
      <w:r>
        <w:rPr>
          <w:color w:val="231F20"/>
        </w:rPr>
        <w:t>签订时间</w:t>
      </w:r>
      <w:r>
        <w:rPr>
          <w:color w:val="231F20"/>
          <w:u w:val="single" w:color="231F20"/>
        </w:rPr>
        <w:t>：</w:t>
        <w:tab/>
      </w:r>
      <w:r>
        <w:rPr>
          <w:color w:val="231F20"/>
        </w:rPr>
        <w:t>年</w:t>
      </w:r>
      <w:r>
        <w:rPr>
          <w:color w:val="231F20"/>
          <w:u w:val="single" w:color="231F20"/>
        </w:rPr>
        <w:t>        </w:t>
      </w:r>
      <w:r>
        <w:rPr>
          <w:color w:val="231F20"/>
        </w:rPr>
        <w:t>月</w:t>
      </w:r>
      <w:r>
        <w:rPr>
          <w:color w:val="231F20"/>
          <w:u w:val="single" w:color="231F20"/>
        </w:rPr>
        <w:t>       </w:t>
      </w:r>
      <w:r>
        <w:rPr>
          <w:color w:val="231F20"/>
          <w:spacing w:val="12"/>
          <w:u w:val="single" w:color="231F20"/>
        </w:rPr>
        <w:t> </w:t>
      </w:r>
      <w:r>
        <w:rPr>
          <w:color w:val="231F20"/>
        </w:rPr>
        <w:t>日</w:t>
      </w:r>
    </w:p>
    <w:p>
      <w:pPr>
        <w:spacing w:after="0"/>
        <w:jc w:val="both"/>
        <w:sectPr>
          <w:pgSz w:w="11910" w:h="16840"/>
          <w:pgMar w:header="0" w:footer="832" w:top="1580" w:bottom="1020" w:left="1300" w:right="1300"/>
        </w:sectPr>
      </w:pPr>
    </w:p>
    <w:p>
      <w:pPr>
        <w:pStyle w:val="BodyText"/>
        <w:ind w:left="0"/>
        <w:rPr>
          <w:sz w:val="20"/>
        </w:rPr>
      </w:pPr>
    </w:p>
    <w:p>
      <w:pPr>
        <w:pStyle w:val="BodyText"/>
        <w:ind w:left="0"/>
        <w:rPr>
          <w:sz w:val="20"/>
        </w:rPr>
      </w:pPr>
    </w:p>
    <w:p>
      <w:pPr>
        <w:pStyle w:val="Heading1"/>
        <w:tabs>
          <w:tab w:pos="1399" w:val="left" w:leader="none"/>
        </w:tabs>
        <w:ind w:right="58"/>
      </w:pPr>
      <w:r>
        <w:rPr>
          <w:color w:val="231F20"/>
        </w:rPr>
        <w:t>第一部分</w:t>
        <w:tab/>
        <w:t>通用合同条款</w:t>
      </w:r>
    </w:p>
    <w:p>
      <w:pPr>
        <w:pStyle w:val="BodyText"/>
        <w:spacing w:before="12"/>
        <w:ind w:left="0"/>
        <w:rPr>
          <w:rFonts w:ascii="方正黑体_GBK"/>
          <w:sz w:val="35"/>
        </w:rPr>
      </w:pPr>
    </w:p>
    <w:p>
      <w:pPr>
        <w:pStyle w:val="Heading2"/>
        <w:spacing w:before="0"/>
        <w:ind w:right="58"/>
      </w:pPr>
      <w:r>
        <w:rPr>
          <w:color w:val="231F20"/>
        </w:rPr>
        <w:t>词语涵义及适用语言</w:t>
      </w:r>
    </w:p>
    <w:p>
      <w:pPr>
        <w:pStyle w:val="BodyText"/>
        <w:tabs>
          <w:tab w:pos="1437" w:val="left" w:leader="none"/>
        </w:tabs>
        <w:spacing w:before="229"/>
      </w:pPr>
      <w:r>
        <w:rPr>
          <w:rFonts w:ascii="方正黑体_GBK" w:eastAsia="方正黑体_GBK" w:hint="eastAsia"/>
          <w:color w:val="231F20"/>
        </w:rPr>
        <w:t>第一条</w:t>
        <w:tab/>
      </w:r>
      <w:r>
        <w:rPr>
          <w:color w:val="231F20"/>
        </w:rPr>
        <w:t>下列名词和用语，除上下文另有约定外，具有本条所赋予的涵义：</w:t>
      </w:r>
    </w:p>
    <w:p>
      <w:pPr>
        <w:pStyle w:val="BodyText"/>
        <w:spacing w:line="304" w:lineRule="auto" w:before="89"/>
        <w:ind w:left="117" w:right="175" w:firstLine="440"/>
      </w:pPr>
      <w:r>
        <w:rPr>
          <w:color w:val="231F20"/>
          <w:spacing w:val="-9"/>
        </w:rPr>
        <w:t>一、“委托人”指承担工程建设项目直接建设管理责任，委托监理业务的法人或其合法继</w:t>
      </w:r>
      <w:r>
        <w:rPr>
          <w:color w:val="231F20"/>
        </w:rPr>
        <w:t>承人。</w:t>
      </w:r>
    </w:p>
    <w:p>
      <w:pPr>
        <w:pStyle w:val="BodyText"/>
        <w:spacing w:before="20"/>
      </w:pPr>
      <w:r>
        <w:rPr>
          <w:color w:val="231F20"/>
        </w:rPr>
        <w:t>二、“监理人”指受委托人委托，提供监理服务的法人或其合法继承人。</w:t>
      </w:r>
    </w:p>
    <w:p>
      <w:pPr>
        <w:pStyle w:val="BodyText"/>
        <w:spacing w:line="304" w:lineRule="auto" w:before="88"/>
        <w:ind w:left="117" w:right="175" w:firstLine="440"/>
      </w:pPr>
      <w:r>
        <w:rPr>
          <w:color w:val="231F20"/>
        </w:rPr>
        <w:t>三、“承包人”指与委托人（发包人）签订了施工合同，承担工程施工的法人或其合法继承人。</w:t>
      </w:r>
    </w:p>
    <w:p>
      <w:pPr>
        <w:pStyle w:val="BodyText"/>
        <w:spacing w:line="304" w:lineRule="auto" w:before="20"/>
        <w:ind w:left="117" w:right="175" w:firstLine="440"/>
      </w:pPr>
      <w:r>
        <w:rPr>
          <w:color w:val="231F20"/>
          <w:spacing w:val="-9"/>
        </w:rPr>
        <w:t>四、“监理机构”指监理人派驻工程现场直接开展监理业务的组织，由总监理工程师、监理工程师和监理员以及其他人员组成。</w:t>
      </w:r>
    </w:p>
    <w:p>
      <w:pPr>
        <w:pStyle w:val="BodyText"/>
        <w:spacing w:before="20"/>
      </w:pPr>
      <w:r>
        <w:rPr>
          <w:color w:val="231F20"/>
        </w:rPr>
        <w:t>五、“监理项目”是指委托人委托监理人实施建设监理的工程建设项目。</w:t>
      </w:r>
    </w:p>
    <w:p>
      <w:pPr>
        <w:pStyle w:val="BodyText"/>
        <w:spacing w:line="304" w:lineRule="auto" w:before="88"/>
        <w:ind w:right="175"/>
      </w:pPr>
      <w:r>
        <w:rPr>
          <w:color w:val="231F20"/>
          <w:spacing w:val="-12"/>
        </w:rPr>
        <w:t>六、“服务”是指监理人根据监理合同约定所承担的各项工作，包括正常服务和附加服务。七、“正常服务”指监理人按照合同约定的监理范围、内容和期限所提供的服务。</w:t>
      </w:r>
    </w:p>
    <w:p>
      <w:pPr>
        <w:pStyle w:val="BodyText"/>
        <w:spacing w:before="20"/>
      </w:pPr>
      <w:r>
        <w:rPr>
          <w:color w:val="231F20"/>
        </w:rPr>
        <w:t>八、“附加服务”指监理人为委托人提供正常服务以外的服务。</w:t>
      </w:r>
    </w:p>
    <w:p>
      <w:pPr>
        <w:pStyle w:val="BodyText"/>
        <w:spacing w:line="304" w:lineRule="auto" w:before="89"/>
        <w:ind w:left="117" w:right="12" w:firstLine="440"/>
      </w:pPr>
      <w:r>
        <w:rPr>
          <w:color w:val="231F20"/>
          <w:spacing w:val="-16"/>
        </w:rPr>
        <w:t>九、“服务酬金”指本合同中监理人完成“正常服务”“附加服务”应得到的正常服务酬金</w:t>
      </w:r>
      <w:r>
        <w:rPr>
          <w:color w:val="231F20"/>
        </w:rPr>
        <w:t>和附加服务酬金。</w:t>
      </w:r>
    </w:p>
    <w:p>
      <w:pPr>
        <w:pStyle w:val="BodyText"/>
        <w:spacing w:before="21"/>
      </w:pPr>
      <w:r>
        <w:rPr>
          <w:color w:val="231F20"/>
        </w:rPr>
        <w:t>十、“天”指日历天。</w:t>
      </w:r>
    </w:p>
    <w:p>
      <w:pPr>
        <w:pStyle w:val="BodyText"/>
        <w:spacing w:before="89"/>
      </w:pPr>
      <w:r>
        <w:rPr>
          <w:color w:val="231F20"/>
        </w:rPr>
        <w:t>十一、“现场”指监理项目实施的场所。</w:t>
      </w:r>
    </w:p>
    <w:p>
      <w:pPr>
        <w:pStyle w:val="BodyText"/>
        <w:tabs>
          <w:tab w:pos="1437" w:val="left" w:leader="none"/>
        </w:tabs>
        <w:spacing w:before="83"/>
      </w:pPr>
      <w:r>
        <w:rPr>
          <w:rFonts w:ascii="方正黑体_GBK" w:eastAsia="方正黑体_GBK" w:hint="eastAsia"/>
          <w:color w:val="231F20"/>
        </w:rPr>
        <w:t>第二条</w:t>
        <w:tab/>
      </w:r>
      <w:r>
        <w:rPr>
          <w:color w:val="231F20"/>
        </w:rPr>
        <w:t>本合同适用的语言文字为汉语文字。</w:t>
      </w:r>
    </w:p>
    <w:p>
      <w:pPr>
        <w:pStyle w:val="BodyText"/>
        <w:spacing w:before="14"/>
        <w:ind w:left="0"/>
        <w:rPr>
          <w:sz w:val="15"/>
        </w:rPr>
      </w:pPr>
    </w:p>
    <w:p>
      <w:pPr>
        <w:pStyle w:val="Heading2"/>
        <w:spacing w:before="0"/>
        <w:ind w:right="58"/>
      </w:pPr>
      <w:r>
        <w:rPr>
          <w:color w:val="231F20"/>
        </w:rPr>
        <w:t>监理依据</w:t>
      </w:r>
    </w:p>
    <w:p>
      <w:pPr>
        <w:pStyle w:val="BodyText"/>
        <w:spacing w:line="304" w:lineRule="auto" w:before="229"/>
        <w:ind w:left="117" w:right="173" w:firstLine="440"/>
        <w:jc w:val="both"/>
      </w:pPr>
      <w:r>
        <w:rPr>
          <w:rFonts w:ascii="方正黑体_GBK" w:eastAsia="方正黑体_GBK" w:hint="eastAsia"/>
          <w:color w:val="231F20"/>
          <w:spacing w:val="1"/>
        </w:rPr>
        <w:t>第三条  </w:t>
      </w:r>
      <w:r>
        <w:rPr>
          <w:color w:val="231F20"/>
          <w:spacing w:val="-2"/>
        </w:rPr>
        <w:t>监理的依据是有关工程建设的法律、法规、规章和规范性文件；工程建设强制性</w:t>
      </w:r>
      <w:r>
        <w:rPr>
          <w:color w:val="231F20"/>
          <w:spacing w:val="-8"/>
        </w:rPr>
        <w:t>条文、有关技术标准；经批准的工程建设项目设计文件及其相关文件；监理合同、施工合同等</w:t>
      </w:r>
      <w:r>
        <w:rPr>
          <w:color w:val="231F20"/>
        </w:rPr>
        <w:t>合同文件。具体内容在专用合同条款中约定。</w:t>
      </w:r>
    </w:p>
    <w:p>
      <w:pPr>
        <w:pStyle w:val="Heading2"/>
        <w:ind w:right="58"/>
      </w:pPr>
      <w:r>
        <w:rPr>
          <w:color w:val="231F20"/>
        </w:rPr>
        <w:t>通知和联系</w:t>
      </w:r>
    </w:p>
    <w:p>
      <w:pPr>
        <w:pStyle w:val="BodyText"/>
        <w:tabs>
          <w:tab w:pos="1441" w:val="left" w:leader="none"/>
        </w:tabs>
        <w:spacing w:line="304" w:lineRule="auto" w:before="229"/>
        <w:ind w:left="117" w:right="175" w:firstLine="440"/>
      </w:pPr>
      <w:r>
        <w:rPr>
          <w:rFonts w:ascii="方正黑体_GBK" w:eastAsia="方正黑体_GBK" w:hint="eastAsia"/>
          <w:color w:val="231F20"/>
        </w:rPr>
        <w:t>第四条</w:t>
        <w:tab/>
      </w:r>
      <w:r>
        <w:rPr>
          <w:color w:val="231F20"/>
        </w:rPr>
        <w:t>委托人应指定一名联系人，负责与监理机构联系。更换联系人时，应提前通知监 理人。</w:t>
      </w:r>
    </w:p>
    <w:p>
      <w:pPr>
        <w:pStyle w:val="BodyText"/>
        <w:tabs>
          <w:tab w:pos="1441" w:val="left" w:leader="none"/>
        </w:tabs>
        <w:spacing w:line="304" w:lineRule="auto" w:before="15"/>
        <w:ind w:left="117" w:right="175" w:firstLine="440"/>
      </w:pPr>
      <w:r>
        <w:rPr>
          <w:rFonts w:ascii="方正黑体_GBK" w:eastAsia="方正黑体_GBK" w:hint="eastAsia"/>
          <w:color w:val="231F20"/>
        </w:rPr>
        <w:t>第五条</w:t>
        <w:tab/>
      </w:r>
      <w:r>
        <w:rPr>
          <w:color w:val="231F20"/>
        </w:rPr>
        <w:t>在监理合同实施过程中，双方的联系均应以书面函件为准。在不做出紧急处理即 可能导致安全、质量事故的情况下，可先以口头形式通知，并在</w:t>
      </w:r>
      <w:r>
        <w:rPr>
          <w:color w:val="231F20"/>
          <w:spacing w:val="-1"/>
        </w:rPr>
        <w:t> </w:t>
      </w:r>
      <w:r>
        <w:rPr>
          <w:color w:val="231F20"/>
        </w:rPr>
        <w:t>48</w:t>
      </w:r>
      <w:r>
        <w:rPr>
          <w:color w:val="231F20"/>
          <w:spacing w:val="-1"/>
        </w:rPr>
        <w:t> </w:t>
      </w:r>
      <w:r>
        <w:rPr>
          <w:color w:val="231F20"/>
        </w:rPr>
        <w:t>小时内补做书面通知。</w:t>
      </w:r>
    </w:p>
    <w:p>
      <w:pPr>
        <w:spacing w:after="0" w:line="304" w:lineRule="auto"/>
        <w:sectPr>
          <w:pgSz w:w="11910" w:h="16840"/>
          <w:pgMar w:header="0" w:footer="832" w:top="1580" w:bottom="1020" w:left="1300" w:right="1240"/>
        </w:sectPr>
      </w:pPr>
    </w:p>
    <w:p>
      <w:pPr>
        <w:pStyle w:val="BodyText"/>
        <w:tabs>
          <w:tab w:pos="1441" w:val="left" w:leader="none"/>
        </w:tabs>
        <w:spacing w:line="304" w:lineRule="auto" w:before="18"/>
        <w:ind w:left="117" w:right="117" w:firstLine="440"/>
      </w:pPr>
      <w:r>
        <w:rPr>
          <w:rFonts w:ascii="方正黑体_GBK" w:eastAsia="方正黑体_GBK" w:hint="eastAsia"/>
          <w:color w:val="231F20"/>
        </w:rPr>
        <w:t>第六条</w:t>
        <w:tab/>
      </w:r>
      <w:r>
        <w:rPr>
          <w:color w:val="231F20"/>
        </w:rPr>
        <w:t>委托人对委托监理范围内工程项目实施的意见和决策，应通过监理机构下达，法 律、法规另有规定的除外。</w:t>
      </w:r>
    </w:p>
    <w:p>
      <w:pPr>
        <w:pStyle w:val="Heading2"/>
      </w:pPr>
      <w:r>
        <w:rPr>
          <w:color w:val="231F20"/>
        </w:rPr>
        <w:t>委托人的权利</w:t>
      </w:r>
    </w:p>
    <w:p>
      <w:pPr>
        <w:pStyle w:val="BodyText"/>
        <w:tabs>
          <w:tab w:pos="1437" w:val="left" w:leader="none"/>
        </w:tabs>
        <w:spacing w:before="229"/>
      </w:pPr>
      <w:r>
        <w:rPr>
          <w:rFonts w:ascii="方正黑体_GBK" w:eastAsia="方正黑体_GBK" w:hint="eastAsia"/>
          <w:color w:val="231F20"/>
        </w:rPr>
        <w:t>第七条</w:t>
        <w:tab/>
      </w:r>
      <w:r>
        <w:rPr>
          <w:color w:val="231F20"/>
        </w:rPr>
        <w:t>委托人享有如下权利：</w:t>
      </w:r>
    </w:p>
    <w:p>
      <w:pPr>
        <w:pStyle w:val="BodyText"/>
        <w:spacing w:line="304" w:lineRule="auto" w:before="89"/>
        <w:ind w:right="593"/>
      </w:pPr>
      <w:r>
        <w:rPr>
          <w:color w:val="231F20"/>
        </w:rPr>
        <w:t>一、对监理工作进行监督、检查，并提出撤换不能胜任监理工作人员的建议或要求； 二、对工程建设中质量、安全、投资、进度方面的重大问题的决策权；</w:t>
      </w:r>
    </w:p>
    <w:p>
      <w:pPr>
        <w:pStyle w:val="BodyText"/>
        <w:spacing w:before="20"/>
      </w:pPr>
      <w:r>
        <w:rPr>
          <w:color w:val="231F20"/>
        </w:rPr>
        <w:t>三、核定监理人签发的工程计量、付款凭证；</w:t>
      </w:r>
    </w:p>
    <w:p>
      <w:pPr>
        <w:pStyle w:val="BodyText"/>
        <w:spacing w:line="304" w:lineRule="auto" w:before="88"/>
        <w:ind w:right="593"/>
      </w:pPr>
      <w:r>
        <w:rPr>
          <w:color w:val="231F20"/>
        </w:rPr>
        <w:t>四、要求监理人提交监理月报、监理专题报告、监理工作报告和监理工作总结报告； 五、当监理人发生本合同专用条款约定的违约情形时，有权解除本合同。</w:t>
      </w:r>
    </w:p>
    <w:p>
      <w:pPr>
        <w:pStyle w:val="Heading2"/>
      </w:pPr>
      <w:r>
        <w:rPr>
          <w:color w:val="231F20"/>
        </w:rPr>
        <w:t>监理人的权利</w:t>
      </w:r>
    </w:p>
    <w:p>
      <w:pPr>
        <w:pStyle w:val="BodyText"/>
        <w:tabs>
          <w:tab w:pos="1437" w:val="left" w:leader="none"/>
        </w:tabs>
        <w:spacing w:before="229"/>
      </w:pPr>
      <w:r>
        <w:rPr>
          <w:rFonts w:ascii="方正黑体_GBK" w:eastAsia="方正黑体_GBK" w:hint="eastAsia"/>
          <w:color w:val="231F20"/>
        </w:rPr>
        <w:t>第八条</w:t>
        <w:tab/>
      </w:r>
      <w:r>
        <w:rPr>
          <w:color w:val="231F20"/>
        </w:rPr>
        <w:t>委托人赋予监理人如下权利：</w:t>
      </w:r>
    </w:p>
    <w:p>
      <w:pPr>
        <w:pStyle w:val="BodyText"/>
        <w:spacing w:before="89"/>
      </w:pPr>
      <w:r>
        <w:rPr>
          <w:color w:val="231F20"/>
        </w:rPr>
        <w:t>一、审查承包人拟选择的分包项目和分包人，报委托人批准；</w:t>
      </w:r>
    </w:p>
    <w:p>
      <w:pPr>
        <w:pStyle w:val="BodyText"/>
        <w:spacing w:line="304" w:lineRule="auto" w:before="89"/>
        <w:ind w:right="813"/>
      </w:pPr>
      <w:r>
        <w:rPr>
          <w:color w:val="231F20"/>
        </w:rPr>
        <w:t>二、审查承包人提交的施工组织设计、安全技术措施及专项施工方案等各类文件； 三、核查并签发施工图纸；</w:t>
      </w:r>
    </w:p>
    <w:p>
      <w:pPr>
        <w:pStyle w:val="BodyText"/>
        <w:spacing w:line="304" w:lineRule="auto" w:before="20"/>
        <w:ind w:left="117" w:firstLine="440"/>
      </w:pPr>
      <w:r>
        <w:rPr>
          <w:color w:val="231F20"/>
        </w:rPr>
        <w:t>四、签发合同项目开工令、暂停施工指示，但应事先征得委托人同意；签发进场通知、复工通知；</w:t>
      </w:r>
    </w:p>
    <w:p>
      <w:pPr>
        <w:pStyle w:val="BodyText"/>
        <w:spacing w:before="20"/>
      </w:pPr>
      <w:r>
        <w:rPr>
          <w:color w:val="231F20"/>
        </w:rPr>
        <w:t>五、审核和签发工程计量、付款凭证；</w:t>
      </w:r>
    </w:p>
    <w:p>
      <w:pPr>
        <w:pStyle w:val="BodyText"/>
        <w:spacing w:line="304" w:lineRule="auto" w:before="89"/>
        <w:ind w:left="117" w:firstLine="440"/>
      </w:pPr>
      <w:r>
        <w:rPr>
          <w:color w:val="231F20"/>
        </w:rPr>
        <w:t>六、核查承包人现场工作人员数量及相应岗位资格，有权要求承包人撤换不称职的现场工作人员；</w:t>
      </w:r>
    </w:p>
    <w:p>
      <w:pPr>
        <w:pStyle w:val="BodyText"/>
        <w:spacing w:line="304" w:lineRule="auto" w:before="21"/>
        <w:ind w:left="117" w:firstLine="440"/>
      </w:pPr>
      <w:r>
        <w:rPr>
          <w:color w:val="231F20"/>
        </w:rPr>
        <w:t>七、发现承包人使用的施工设备影响工程质量或进度时，有权要求承包人增加或更换施工设备；</w:t>
      </w:r>
    </w:p>
    <w:p>
      <w:pPr>
        <w:pStyle w:val="BodyText"/>
        <w:spacing w:line="304" w:lineRule="auto" w:before="21"/>
        <w:ind w:right="1693"/>
      </w:pPr>
      <w:r>
        <w:rPr>
          <w:color w:val="231F20"/>
        </w:rPr>
        <w:t>八、当委托人发生本合同专用条款约定的违约情形时，有权解除本合同； 九、专用合同条款约定的其他权利。</w:t>
      </w:r>
    </w:p>
    <w:p>
      <w:pPr>
        <w:pStyle w:val="Heading2"/>
      </w:pPr>
      <w:r>
        <w:rPr>
          <w:color w:val="231F20"/>
        </w:rPr>
        <w:t>委托人的义务</w:t>
      </w:r>
    </w:p>
    <w:p>
      <w:pPr>
        <w:pStyle w:val="BodyText"/>
        <w:tabs>
          <w:tab w:pos="1437" w:val="left" w:leader="none"/>
        </w:tabs>
        <w:spacing w:before="228"/>
      </w:pPr>
      <w:r>
        <w:rPr>
          <w:rFonts w:ascii="方正黑体_GBK" w:eastAsia="方正黑体_GBK" w:hint="eastAsia"/>
          <w:color w:val="231F20"/>
        </w:rPr>
        <w:t>第九条</w:t>
        <w:tab/>
      </w:r>
      <w:r>
        <w:rPr>
          <w:color w:val="231F20"/>
        </w:rPr>
        <w:t>工程建设外部环境的协调工作。</w:t>
      </w:r>
    </w:p>
    <w:p>
      <w:pPr>
        <w:pStyle w:val="BodyText"/>
        <w:tabs>
          <w:tab w:pos="1441" w:val="left" w:leader="none"/>
        </w:tabs>
        <w:spacing w:line="304" w:lineRule="auto" w:before="82"/>
        <w:ind w:left="117" w:right="117" w:firstLine="440"/>
      </w:pPr>
      <w:r>
        <w:rPr>
          <w:rFonts w:ascii="方正黑体_GBK" w:eastAsia="方正黑体_GBK" w:hint="eastAsia"/>
          <w:color w:val="231F20"/>
        </w:rPr>
        <w:t>第十条</w:t>
        <w:tab/>
      </w:r>
      <w:r>
        <w:rPr>
          <w:color w:val="231F20"/>
        </w:rPr>
        <w:t>按专用合同条款约定的时间、数量、方式，免费向监理机构提供开展监理服务的 有关本工程建设的资料。</w:t>
      </w:r>
    </w:p>
    <w:p>
      <w:pPr>
        <w:pStyle w:val="BodyText"/>
        <w:spacing w:line="304" w:lineRule="auto" w:before="14"/>
        <w:ind w:left="117" w:right="116" w:firstLine="440"/>
        <w:jc w:val="both"/>
      </w:pPr>
      <w:r>
        <w:rPr>
          <w:rFonts w:ascii="方正黑体_GBK" w:eastAsia="方正黑体_GBK" w:hint="eastAsia"/>
          <w:color w:val="231F20"/>
        </w:rPr>
        <w:t>第十一条 </w:t>
      </w:r>
      <w:r>
        <w:rPr>
          <w:color w:val="231F20"/>
        </w:rPr>
        <w:t>在专用合同条款约定的时间内，就监理机构书面提交并要求作出决定的问题作出书面决定，并及时送达监理机构。超过约定时间，监理机构未收到委托人的书面决定，且委托人未说明理由，监理机构可认为委托人对其提出的事宜已无不同意见，无须再作确认。</w:t>
      </w:r>
    </w:p>
    <w:p>
      <w:pPr>
        <w:spacing w:after="0" w:line="304" w:lineRule="auto"/>
        <w:jc w:val="both"/>
        <w:sectPr>
          <w:pgSz w:w="11910" w:h="16840"/>
          <w:pgMar w:header="0" w:footer="832" w:top="1580" w:bottom="1020" w:left="1300" w:right="1300"/>
        </w:sectPr>
      </w:pPr>
    </w:p>
    <w:p>
      <w:pPr>
        <w:pStyle w:val="BodyText"/>
        <w:tabs>
          <w:tab w:pos="1662" w:val="left" w:leader="none"/>
        </w:tabs>
        <w:spacing w:line="304" w:lineRule="auto" w:before="18"/>
        <w:ind w:left="117" w:right="117" w:firstLine="440"/>
      </w:pPr>
      <w:r>
        <w:rPr>
          <w:rFonts w:ascii="方正黑体_GBK" w:eastAsia="方正黑体_GBK" w:hint="eastAsia"/>
          <w:color w:val="231F20"/>
        </w:rPr>
        <w:t>第十二条</w:t>
        <w:tab/>
      </w:r>
      <w:r>
        <w:rPr>
          <w:color w:val="231F20"/>
        </w:rPr>
        <w:t>与承包人签订的施工合同中明确其赋予监理人的权限，并在工程开工前将监理 单位、总监理工程师通知承包人。</w:t>
      </w:r>
    </w:p>
    <w:p>
      <w:pPr>
        <w:pStyle w:val="BodyText"/>
        <w:tabs>
          <w:tab w:pos="1663" w:val="left" w:leader="none"/>
        </w:tabs>
        <w:spacing w:line="304" w:lineRule="auto" w:before="15"/>
        <w:ind w:left="117" w:right="117" w:firstLine="440"/>
      </w:pPr>
      <w:r>
        <w:rPr>
          <w:rFonts w:ascii="方正黑体_GBK" w:eastAsia="方正黑体_GBK" w:hint="eastAsia"/>
          <w:color w:val="231F20"/>
        </w:rPr>
        <w:t>第十三条</w:t>
        <w:tab/>
      </w:r>
      <w:r>
        <w:rPr>
          <w:color w:val="231F20"/>
        </w:rPr>
        <w:t>提供监理人员在现场的工作和生活条件，具体内容在专用合同条款中明确。如 果不能提供上述条件的，应按实际发生费用给予监理人补偿。</w:t>
      </w:r>
    </w:p>
    <w:p>
      <w:pPr>
        <w:pStyle w:val="BodyText"/>
        <w:tabs>
          <w:tab w:pos="1657" w:val="left" w:leader="none"/>
        </w:tabs>
        <w:spacing w:before="15"/>
      </w:pPr>
      <w:r>
        <w:rPr>
          <w:rFonts w:ascii="方正黑体_GBK" w:eastAsia="方正黑体_GBK" w:hint="eastAsia"/>
          <w:color w:val="231F20"/>
        </w:rPr>
        <w:t>第十四条</w:t>
        <w:tab/>
      </w:r>
      <w:r>
        <w:rPr>
          <w:color w:val="231F20"/>
        </w:rPr>
        <w:t>按本合同约定及时、足额支付监理服务酬金。</w:t>
      </w:r>
    </w:p>
    <w:p>
      <w:pPr>
        <w:pStyle w:val="BodyText"/>
        <w:tabs>
          <w:tab w:pos="1657" w:val="left" w:leader="none"/>
        </w:tabs>
        <w:spacing w:before="83"/>
      </w:pPr>
      <w:r>
        <w:rPr>
          <w:rFonts w:ascii="方正黑体_GBK" w:eastAsia="方正黑体_GBK" w:hint="eastAsia"/>
          <w:color w:val="231F20"/>
        </w:rPr>
        <w:t>第十五条</w:t>
        <w:tab/>
      </w:r>
      <w:r>
        <w:rPr>
          <w:color w:val="231F20"/>
        </w:rPr>
        <w:t>为监理机构指定具有检验、试验资质的机构并承担检验、试验相关费用。</w:t>
      </w:r>
    </w:p>
    <w:p>
      <w:pPr>
        <w:pStyle w:val="BodyText"/>
        <w:spacing w:line="304" w:lineRule="auto" w:before="83"/>
        <w:ind w:left="117" w:right="109" w:firstLine="440"/>
        <w:jc w:val="both"/>
      </w:pPr>
      <w:r>
        <w:rPr>
          <w:rFonts w:ascii="方正黑体_GBK" w:eastAsia="方正黑体_GBK" w:hint="eastAsia"/>
          <w:color w:val="231F20"/>
          <w:spacing w:val="0"/>
        </w:rPr>
        <w:t>第十六条 </w:t>
      </w:r>
      <w:r>
        <w:rPr>
          <w:color w:val="231F20"/>
        </w:rPr>
        <w:t>维护监理机构工作的独立性，不干涉监理机构正常开展监理业务，不擅自作出</w:t>
      </w:r>
      <w:r>
        <w:rPr>
          <w:color w:val="231F20"/>
          <w:spacing w:val="-3"/>
        </w:rPr>
        <w:t>有悖于监理机构在合同授权范围内所作出的指示的决定；未经监理机构签字确认，不得支付工程款。</w:t>
      </w:r>
    </w:p>
    <w:p>
      <w:pPr>
        <w:pStyle w:val="BodyText"/>
        <w:tabs>
          <w:tab w:pos="1663" w:val="left" w:leader="none"/>
        </w:tabs>
        <w:spacing w:line="304" w:lineRule="auto" w:before="15"/>
        <w:ind w:left="117" w:right="117" w:firstLine="440"/>
      </w:pPr>
      <w:r>
        <w:rPr>
          <w:rFonts w:ascii="方正黑体_GBK" w:eastAsia="方正黑体_GBK" w:hint="eastAsia"/>
          <w:color w:val="231F20"/>
        </w:rPr>
        <w:t>第十七条</w:t>
        <w:tab/>
      </w:r>
      <w:r>
        <w:rPr>
          <w:color w:val="231F20"/>
        </w:rPr>
        <w:t>为监理人员投保人身意外伤害险和第三者责任险。如要求监理人自己投保，则 应同意监理人将投保的费用计入报价中。</w:t>
      </w:r>
    </w:p>
    <w:p>
      <w:pPr>
        <w:pStyle w:val="BodyText"/>
        <w:tabs>
          <w:tab w:pos="1657" w:val="left" w:leader="none"/>
        </w:tabs>
        <w:spacing w:before="15"/>
      </w:pPr>
      <w:r>
        <w:rPr>
          <w:rFonts w:ascii="方正黑体_GBK" w:eastAsia="方正黑体_GBK" w:hint="eastAsia"/>
          <w:color w:val="231F20"/>
        </w:rPr>
        <w:t>第十八条</w:t>
        <w:tab/>
      </w:r>
      <w:r>
        <w:rPr>
          <w:color w:val="231F20"/>
        </w:rPr>
        <w:t>将投保工程险的保险合同提供给监理人作为工程合同管理的一部分。</w:t>
      </w:r>
    </w:p>
    <w:p>
      <w:pPr>
        <w:pStyle w:val="BodyText"/>
        <w:tabs>
          <w:tab w:pos="1662" w:val="left" w:leader="none"/>
        </w:tabs>
        <w:spacing w:line="304" w:lineRule="auto" w:before="83"/>
        <w:ind w:left="117" w:right="117" w:firstLine="440"/>
      </w:pPr>
      <w:r>
        <w:rPr>
          <w:rFonts w:ascii="方正黑体_GBK" w:eastAsia="方正黑体_GBK" w:hint="eastAsia"/>
          <w:color w:val="231F20"/>
        </w:rPr>
        <w:t>第十九条</w:t>
        <w:tab/>
      </w:r>
      <w:r>
        <w:rPr>
          <w:color w:val="231F20"/>
        </w:rPr>
        <w:t>未经监理人同意，不得将监理人用于本工程监理服务的任何文件直接或间接用 于其他工程建设之中。</w:t>
      </w:r>
    </w:p>
    <w:p>
      <w:pPr>
        <w:pStyle w:val="Heading2"/>
      </w:pPr>
      <w:r>
        <w:rPr>
          <w:color w:val="231F20"/>
        </w:rPr>
        <w:t>监理人的义务</w:t>
      </w:r>
    </w:p>
    <w:p>
      <w:pPr>
        <w:pStyle w:val="BodyText"/>
        <w:tabs>
          <w:tab w:pos="1663" w:val="left" w:leader="none"/>
        </w:tabs>
        <w:spacing w:line="304" w:lineRule="auto" w:before="229"/>
        <w:ind w:left="117" w:right="117" w:firstLine="440"/>
      </w:pPr>
      <w:r>
        <w:rPr>
          <w:rFonts w:ascii="方正黑体_GBK" w:hAnsi="方正黑体_GBK" w:eastAsia="方正黑体_GBK" w:hint="eastAsia"/>
          <w:color w:val="231F20"/>
        </w:rPr>
        <w:t>第二十条</w:t>
        <w:tab/>
      </w:r>
      <w:r>
        <w:rPr>
          <w:color w:val="231F20"/>
        </w:rPr>
        <w:t>本着“守法、诚信、公正、科学”的原则，按专用合同条款约定的监理服务内 容为委托人提供优质服务。</w:t>
      </w:r>
    </w:p>
    <w:p>
      <w:pPr>
        <w:pStyle w:val="BodyText"/>
        <w:spacing w:line="304" w:lineRule="auto" w:before="15"/>
        <w:ind w:left="117" w:right="108" w:firstLine="440"/>
        <w:jc w:val="both"/>
      </w:pPr>
      <w:r>
        <w:rPr>
          <w:rFonts w:ascii="方正黑体_GBK" w:eastAsia="方正黑体_GBK" w:hint="eastAsia"/>
          <w:color w:val="231F20"/>
          <w:spacing w:val="3"/>
        </w:rPr>
        <w:t>第二十一条  </w:t>
      </w:r>
      <w:r>
        <w:rPr>
          <w:color w:val="231F20"/>
          <w:spacing w:val="3"/>
        </w:rPr>
        <w:t>在专用合同条款约定的时间内组建监理机构，并进驻现场。及时将监理规</w:t>
      </w:r>
      <w:r>
        <w:rPr>
          <w:color w:val="231F20"/>
        </w:rPr>
        <w:t>划、监理机构及其主要人员名单提交委托人，将监理机构及其人员名单、监理工程师和监理员</w:t>
      </w:r>
      <w:r>
        <w:rPr>
          <w:color w:val="231F20"/>
          <w:spacing w:val="-5"/>
        </w:rPr>
        <w:t>的授权范围通知承包人；实施期间有变化的，应当及时通知承包人。更换总监理工程师和其他主要监理人员应征得委托人同意。</w:t>
      </w:r>
    </w:p>
    <w:p>
      <w:pPr>
        <w:pStyle w:val="BodyText"/>
        <w:tabs>
          <w:tab w:pos="1877" w:val="left" w:leader="none"/>
        </w:tabs>
        <w:spacing w:before="15"/>
      </w:pPr>
      <w:r>
        <w:rPr>
          <w:rFonts w:ascii="方正黑体_GBK" w:eastAsia="方正黑体_GBK" w:hint="eastAsia"/>
          <w:color w:val="231F20"/>
        </w:rPr>
        <w:t>第二十二条</w:t>
        <w:tab/>
      </w:r>
      <w:r>
        <w:rPr>
          <w:color w:val="231F20"/>
        </w:rPr>
        <w:t>发现设计文件不符合有关规定或合同约定时，应向委托人报告。</w:t>
      </w:r>
    </w:p>
    <w:p>
      <w:pPr>
        <w:pStyle w:val="BodyText"/>
        <w:spacing w:line="304" w:lineRule="auto" w:before="83"/>
        <w:ind w:left="117" w:right="109" w:firstLine="440"/>
        <w:jc w:val="both"/>
      </w:pPr>
      <w:r>
        <w:rPr>
          <w:rFonts w:ascii="方正黑体_GBK" w:eastAsia="方正黑体_GBK" w:hint="eastAsia"/>
          <w:color w:val="231F20"/>
          <w:spacing w:val="5"/>
        </w:rPr>
        <w:t>第二十三条 </w:t>
      </w:r>
      <w:r>
        <w:rPr>
          <w:color w:val="231F20"/>
          <w:spacing w:val="2"/>
        </w:rPr>
        <w:t>核验建筑材料、建筑构配件和设备质量，检查、检验并确认工程的施工质</w:t>
      </w:r>
      <w:r>
        <w:rPr>
          <w:color w:val="231F20"/>
          <w:spacing w:val="-8"/>
        </w:rPr>
        <w:t>量；检查施工安全生产情况。发现存在质量、安全事故隐患，或发生质量、安全事故，应按有关规定及时采取相应的监理措施。</w:t>
      </w:r>
    </w:p>
    <w:p>
      <w:pPr>
        <w:pStyle w:val="BodyText"/>
        <w:tabs>
          <w:tab w:pos="1877" w:val="left" w:leader="none"/>
        </w:tabs>
        <w:spacing w:before="15"/>
      </w:pPr>
      <w:r>
        <w:rPr>
          <w:rFonts w:ascii="方正黑体_GBK" w:eastAsia="方正黑体_GBK" w:hint="eastAsia"/>
          <w:color w:val="231F20"/>
        </w:rPr>
        <w:t>第二十四条</w:t>
        <w:tab/>
      </w:r>
      <w:r>
        <w:rPr>
          <w:color w:val="231F20"/>
        </w:rPr>
        <w:t>监督、检查工程施工进度。</w:t>
      </w:r>
    </w:p>
    <w:p>
      <w:pPr>
        <w:pStyle w:val="BodyText"/>
        <w:tabs>
          <w:tab w:pos="1884" w:val="left" w:leader="none"/>
        </w:tabs>
        <w:spacing w:line="304" w:lineRule="auto" w:before="83"/>
        <w:ind w:left="117" w:right="117" w:firstLine="440"/>
      </w:pPr>
      <w:r>
        <w:rPr>
          <w:rFonts w:ascii="方正黑体_GBK" w:eastAsia="方正黑体_GBK" w:hint="eastAsia"/>
          <w:color w:val="231F20"/>
        </w:rPr>
        <w:t>第二十五条</w:t>
        <w:tab/>
      </w:r>
      <w:r>
        <w:rPr>
          <w:color w:val="231F20"/>
        </w:rPr>
        <w:t>按照委托人签订的工程保险合同，做好施工现场工程保险合同的管理。协助 委托人向保险公司及时提供一切必要的材料和证据。</w:t>
      </w:r>
    </w:p>
    <w:p>
      <w:pPr>
        <w:pStyle w:val="BodyText"/>
        <w:tabs>
          <w:tab w:pos="1877" w:val="left" w:leader="none"/>
        </w:tabs>
        <w:spacing w:before="14"/>
      </w:pPr>
      <w:r>
        <w:rPr>
          <w:rFonts w:ascii="方正黑体_GBK" w:eastAsia="方正黑体_GBK" w:hint="eastAsia"/>
          <w:color w:val="231F20"/>
        </w:rPr>
        <w:t>第二十六条</w:t>
        <w:tab/>
      </w:r>
      <w:r>
        <w:rPr>
          <w:color w:val="231F20"/>
        </w:rPr>
        <w:t>协调施工合同各方之间的关系。</w:t>
      </w:r>
    </w:p>
    <w:p>
      <w:pPr>
        <w:pStyle w:val="BodyText"/>
        <w:tabs>
          <w:tab w:pos="1918" w:val="left" w:leader="none"/>
        </w:tabs>
        <w:spacing w:line="304" w:lineRule="auto" w:before="82"/>
        <w:ind w:left="117" w:right="109" w:firstLine="440"/>
      </w:pPr>
      <w:r>
        <w:rPr>
          <w:rFonts w:ascii="方正黑体_GBK" w:eastAsia="方正黑体_GBK" w:hint="eastAsia"/>
          <w:color w:val="231F20"/>
          <w:spacing w:val="6"/>
        </w:rPr>
        <w:t>第二十七</w:t>
      </w:r>
      <w:r>
        <w:rPr>
          <w:rFonts w:ascii="方正黑体_GBK" w:eastAsia="方正黑体_GBK" w:hint="eastAsia"/>
          <w:color w:val="231F20"/>
        </w:rPr>
        <w:t>条</w:t>
        <w:tab/>
      </w:r>
      <w:r>
        <w:rPr>
          <w:color w:val="231F20"/>
          <w:spacing w:val="6"/>
        </w:rPr>
        <w:t>按照施工作业程</w:t>
      </w:r>
      <w:r>
        <w:rPr>
          <w:color w:val="231F20"/>
        </w:rPr>
        <w:t>序</w:t>
      </w:r>
      <w:r>
        <w:rPr>
          <w:color w:val="231F20"/>
          <w:spacing w:val="6"/>
        </w:rPr>
        <w:t>，采取旁</w:t>
      </w:r>
      <w:r>
        <w:rPr>
          <w:color w:val="231F20"/>
        </w:rPr>
        <w:t>站</w:t>
      </w:r>
      <w:r>
        <w:rPr>
          <w:color w:val="231F20"/>
          <w:spacing w:val="6"/>
        </w:rPr>
        <w:t>、巡</w:t>
      </w:r>
      <w:r>
        <w:rPr>
          <w:color w:val="231F20"/>
        </w:rPr>
        <w:t>视</w:t>
      </w:r>
      <w:r>
        <w:rPr>
          <w:color w:val="231F20"/>
          <w:spacing w:val="6"/>
        </w:rPr>
        <w:t>、跟踪检测和平行检测等方法实施监 </w:t>
      </w:r>
      <w:r>
        <w:rPr>
          <w:color w:val="231F20"/>
        </w:rPr>
        <w:t>理。需要旁站的重要部位和关键工序在专用合同条款中约定。</w:t>
      </w:r>
    </w:p>
    <w:p>
      <w:pPr>
        <w:pStyle w:val="BodyText"/>
        <w:tabs>
          <w:tab w:pos="1917" w:val="left" w:leader="none"/>
        </w:tabs>
        <w:spacing w:before="14"/>
      </w:pPr>
      <w:r>
        <w:rPr>
          <w:rFonts w:ascii="方正黑体_GBK" w:eastAsia="方正黑体_GBK" w:hint="eastAsia"/>
          <w:color w:val="231F20"/>
          <w:spacing w:val="5"/>
        </w:rPr>
        <w:t>第二十八</w:t>
      </w:r>
      <w:r>
        <w:rPr>
          <w:rFonts w:ascii="方正黑体_GBK" w:eastAsia="方正黑体_GBK" w:hint="eastAsia"/>
          <w:color w:val="231F20"/>
        </w:rPr>
        <w:t>条</w:t>
        <w:tab/>
      </w:r>
      <w:r>
        <w:rPr>
          <w:color w:val="231F20"/>
          <w:spacing w:val="5"/>
        </w:rPr>
        <w:t>及时做好工程施工过程各种监理信息的收</w:t>
      </w:r>
      <w:r>
        <w:rPr>
          <w:color w:val="231F20"/>
        </w:rPr>
        <w:t>集</w:t>
      </w:r>
      <w:r>
        <w:rPr>
          <w:color w:val="231F20"/>
          <w:spacing w:val="5"/>
        </w:rPr>
        <w:t>、整理和归</w:t>
      </w:r>
      <w:r>
        <w:rPr>
          <w:color w:val="231F20"/>
        </w:rPr>
        <w:t>档</w:t>
      </w:r>
      <w:r>
        <w:rPr>
          <w:color w:val="231F20"/>
          <w:spacing w:val="5"/>
        </w:rPr>
        <w:t>，并保证现场记</w:t>
      </w:r>
    </w:p>
    <w:p>
      <w:pPr>
        <w:spacing w:after="0"/>
        <w:sectPr>
          <w:pgSz w:w="11910" w:h="16840"/>
          <w:pgMar w:header="0" w:footer="832" w:top="1580" w:bottom="1020" w:left="1300" w:right="1300"/>
        </w:sectPr>
      </w:pPr>
    </w:p>
    <w:p>
      <w:pPr>
        <w:pStyle w:val="BodyText"/>
        <w:spacing w:before="24"/>
        <w:ind w:left="117"/>
      </w:pPr>
      <w:r>
        <w:rPr>
          <w:color w:val="231F20"/>
        </w:rPr>
        <w:t>录、试验、检验、检查等资料的完整和真实。</w:t>
      </w:r>
    </w:p>
    <w:p>
      <w:pPr>
        <w:pStyle w:val="BodyText"/>
        <w:spacing w:line="304" w:lineRule="auto" w:before="83"/>
        <w:ind w:left="117" w:right="131" w:firstLine="440"/>
        <w:jc w:val="both"/>
      </w:pPr>
      <w:r>
        <w:rPr>
          <w:rFonts w:ascii="方正黑体_GBK" w:eastAsia="方正黑体_GBK" w:hint="eastAsia"/>
          <w:color w:val="231F20"/>
          <w:spacing w:val="0"/>
        </w:rPr>
        <w:t>第二十九条  </w:t>
      </w:r>
      <w:r>
        <w:rPr>
          <w:color w:val="231F20"/>
          <w:spacing w:val="-9"/>
        </w:rPr>
        <w:t>编制《监理日志》，并向委托人提交监理月报、监理专题报告、监理工作报</w:t>
      </w:r>
      <w:r>
        <w:rPr>
          <w:color w:val="231F20"/>
        </w:rPr>
        <w:t>告和监理工作总结报告。</w:t>
      </w:r>
    </w:p>
    <w:p>
      <w:pPr>
        <w:pStyle w:val="BodyText"/>
        <w:spacing w:line="304" w:lineRule="auto" w:before="15"/>
        <w:ind w:left="117" w:right="131" w:firstLine="440"/>
        <w:jc w:val="both"/>
      </w:pPr>
      <w:r>
        <w:rPr>
          <w:rFonts w:ascii="方正黑体_GBK" w:eastAsia="方正黑体_GBK" w:hint="eastAsia"/>
          <w:color w:val="231F20"/>
        </w:rPr>
        <w:t>第三十条 </w:t>
      </w:r>
      <w:r>
        <w:rPr>
          <w:color w:val="231F20"/>
        </w:rPr>
        <w:t>按有关规定参加工程验收，做好相关配合工作。委托人委托监理人主持的分部工程验收由专用合同条款约定。</w:t>
      </w:r>
    </w:p>
    <w:p>
      <w:pPr>
        <w:pStyle w:val="BodyText"/>
        <w:spacing w:line="304" w:lineRule="auto" w:before="15"/>
        <w:ind w:left="117" w:right="131" w:firstLine="440"/>
        <w:jc w:val="both"/>
      </w:pPr>
      <w:r>
        <w:rPr>
          <w:rFonts w:ascii="方正黑体_GBK" w:eastAsia="方正黑体_GBK" w:hint="eastAsia"/>
          <w:color w:val="231F20"/>
        </w:rPr>
        <w:t>第三十一条 </w:t>
      </w:r>
      <w:r>
        <w:rPr>
          <w:color w:val="231F20"/>
        </w:rPr>
        <w:t>妥善做好委托人所提供的工程建设文件资料的保存、回收及保密工作。在本合同期限内或专用合同条款约定的合同终止后的一定期限内，未征得委托人同意，不得公开涉及委托人的专利、专有技术或其他需保密的资料，不得泄露与本合同业务有关的技术、商务等秘密。</w:t>
      </w:r>
    </w:p>
    <w:p>
      <w:pPr>
        <w:pStyle w:val="Heading2"/>
        <w:ind w:left="3796" w:right="3814"/>
      </w:pPr>
      <w:r>
        <w:rPr>
          <w:color w:val="231F20"/>
        </w:rPr>
        <w:t>监理服务酬金</w:t>
      </w:r>
    </w:p>
    <w:p>
      <w:pPr>
        <w:pStyle w:val="BodyText"/>
        <w:tabs>
          <w:tab w:pos="1877" w:val="left" w:leader="none"/>
        </w:tabs>
        <w:spacing w:before="229"/>
      </w:pPr>
      <w:r>
        <w:rPr>
          <w:rFonts w:ascii="方正黑体_GBK" w:eastAsia="方正黑体_GBK" w:hint="eastAsia"/>
          <w:color w:val="231F20"/>
        </w:rPr>
        <w:t>第三十二条</w:t>
        <w:tab/>
      </w:r>
      <w:r>
        <w:rPr>
          <w:color w:val="231F20"/>
        </w:rPr>
        <w:t>监理正常服务酬金的支付时间和支付方式在专用合同条款中约定。</w:t>
      </w:r>
    </w:p>
    <w:p>
      <w:pPr>
        <w:pStyle w:val="BodyText"/>
        <w:spacing w:line="304" w:lineRule="auto" w:before="83"/>
        <w:ind w:left="117" w:right="128" w:firstLine="440"/>
        <w:jc w:val="both"/>
      </w:pPr>
      <w:r>
        <w:rPr>
          <w:rFonts w:ascii="方正黑体_GBK" w:eastAsia="方正黑体_GBK" w:hint="eastAsia"/>
          <w:color w:val="231F20"/>
        </w:rPr>
        <w:t>第三十三条  </w:t>
      </w:r>
      <w:r>
        <w:rPr>
          <w:color w:val="231F20"/>
        </w:rPr>
        <w:t>除不可抗力外，有下列情形之一且由此引起监理工作量增加或服务期限延长，均应视为监理机构的附加服务，监理人应得到监理附加服务酬金：</w:t>
      </w:r>
    </w:p>
    <w:p>
      <w:pPr>
        <w:pStyle w:val="BodyText"/>
        <w:spacing w:line="304" w:lineRule="auto" w:before="21"/>
        <w:ind w:left="117" w:right="130" w:firstLine="440"/>
        <w:jc w:val="both"/>
      </w:pPr>
      <w:r>
        <w:rPr>
          <w:color w:val="231F20"/>
        </w:rPr>
        <w:t>一、由于委托人、第三方责任、设计变更及不良地质条件等非监理人原因致使正常的监理服务受到阻碍或延误；</w:t>
      </w:r>
    </w:p>
    <w:p>
      <w:pPr>
        <w:pStyle w:val="BodyText"/>
        <w:spacing w:line="302" w:lineRule="auto" w:before="21"/>
        <w:ind w:right="106"/>
        <w:jc w:val="both"/>
      </w:pPr>
      <w:r>
        <w:rPr>
          <w:color w:val="231F20"/>
          <w:spacing w:val="-5"/>
        </w:rPr>
        <w:t>二、在本合同履行过程中，委托人要求监理机构完成监理合同约定范围和内容以外的服务； </w:t>
      </w:r>
      <w:r>
        <w:rPr>
          <w:color w:val="231F20"/>
        </w:rPr>
        <w:t>三、由于非监理人原因暂停或终止监理业务时，其善后工作或恢复执行监理业务的工作。</w:t>
      </w:r>
      <w:r>
        <w:rPr>
          <w:color w:val="231F20"/>
          <w:spacing w:val="-9"/>
        </w:rPr>
        <w:t>监理人完成附加服务应得到的酬金，按专用合同条款约定的方法或监理补充协议计取和支付。</w:t>
      </w:r>
      <w:r>
        <w:rPr>
          <w:rFonts w:ascii="方正黑体_GBK" w:eastAsia="方正黑体_GBK" w:hint="eastAsia"/>
          <w:color w:val="231F20"/>
          <w:spacing w:val="0"/>
        </w:rPr>
        <w:t>第三十四条    </w:t>
      </w:r>
      <w:r>
        <w:rPr>
          <w:color w:val="231F20"/>
        </w:rPr>
        <w:t>国家有关法律、法规、规章和监理酬金标准发生变化时，应按有关规定调整</w:t>
      </w:r>
    </w:p>
    <w:p>
      <w:pPr>
        <w:pStyle w:val="BodyText"/>
        <w:spacing w:before="21"/>
        <w:ind w:left="117"/>
      </w:pPr>
      <w:r>
        <w:rPr>
          <w:color w:val="231F20"/>
        </w:rPr>
        <w:t>监理服务酬金。</w:t>
      </w:r>
    </w:p>
    <w:p>
      <w:pPr>
        <w:pStyle w:val="BodyText"/>
        <w:spacing w:line="304" w:lineRule="auto" w:before="82"/>
        <w:ind w:left="117" w:right="135" w:firstLine="440"/>
        <w:jc w:val="both"/>
      </w:pPr>
      <w:r>
        <w:rPr>
          <w:rFonts w:ascii="方正黑体_GBK" w:eastAsia="方正黑体_GBK" w:hint="eastAsia"/>
          <w:color w:val="231F20"/>
        </w:rPr>
        <w:t>第三十五条 </w:t>
      </w:r>
      <w:r>
        <w:rPr>
          <w:color w:val="231F20"/>
        </w:rPr>
        <w:t>委托人对监理人申请支付的监理酬金项目及金额有异议时，应当在收到监理人支付申请书后 7 天内向监理人发出异议通知，由双方协商解决。7 天内未发出异议通知，则按通用合同条款第三十二条、第三十三条、第三十四条的约定支付。</w:t>
      </w:r>
    </w:p>
    <w:p>
      <w:pPr>
        <w:pStyle w:val="Heading2"/>
        <w:spacing w:before="170"/>
        <w:ind w:left="3796" w:right="3814"/>
      </w:pPr>
      <w:r>
        <w:rPr>
          <w:color w:val="231F20"/>
        </w:rPr>
        <w:t>合同变更与终止</w:t>
      </w:r>
    </w:p>
    <w:p>
      <w:pPr>
        <w:pStyle w:val="BodyText"/>
        <w:spacing w:line="304" w:lineRule="auto" w:before="228"/>
        <w:ind w:left="117" w:right="131" w:firstLine="440"/>
        <w:jc w:val="both"/>
      </w:pPr>
      <w:r>
        <w:rPr>
          <w:rFonts w:ascii="方正黑体_GBK" w:eastAsia="方正黑体_GBK" w:hint="eastAsia"/>
          <w:color w:val="231F20"/>
        </w:rPr>
        <w:t>第三十六条 </w:t>
      </w:r>
      <w:r>
        <w:rPr>
          <w:color w:val="231F20"/>
        </w:rPr>
        <w:t>因工程建设计划调整、较大的工程设计变更、不良地质条件等非监理人原因致使本合同约定的服务范围、内容和服务形式发生较大变化时，双方对监理服务酬金计取、监理服务期限等有关合同条款应当充分协商，签订监理补充协议。</w:t>
      </w:r>
    </w:p>
    <w:p>
      <w:pPr>
        <w:pStyle w:val="BodyText"/>
        <w:spacing w:line="304" w:lineRule="auto" w:before="14"/>
        <w:ind w:left="117" w:right="135" w:firstLine="440"/>
        <w:jc w:val="both"/>
      </w:pPr>
      <w:r>
        <w:rPr>
          <w:rFonts w:ascii="方正黑体_GBK" w:eastAsia="方正黑体_GBK" w:hint="eastAsia"/>
          <w:color w:val="231F20"/>
          <w:spacing w:val="0"/>
        </w:rPr>
        <w:t>第三十七条 </w:t>
      </w:r>
      <w:r>
        <w:rPr>
          <w:color w:val="231F20"/>
        </w:rPr>
        <w:t>当发生法律或本合同约定的解除合同的情形时，有权解除合同的一方要求解</w:t>
      </w:r>
      <w:r>
        <w:rPr>
          <w:color w:val="231F20"/>
          <w:spacing w:val="-5"/>
        </w:rPr>
        <w:t>除合同的，应书面通知对方；若通知送达后 </w:t>
      </w:r>
      <w:r>
        <w:rPr>
          <w:color w:val="231F20"/>
        </w:rPr>
        <w:t>28</w:t>
      </w:r>
      <w:r>
        <w:rPr>
          <w:color w:val="231F20"/>
          <w:spacing w:val="-1"/>
        </w:rPr>
        <w:t> 天内未收到对方的答复，可发出终止监理合同的通知，本合同即行终止。因解除合同遭受损失的，除依法可以免除责任的外，应由责任方赔偿损失。</w:t>
      </w:r>
    </w:p>
    <w:p>
      <w:pPr>
        <w:spacing w:after="0" w:line="304" w:lineRule="auto"/>
        <w:jc w:val="both"/>
        <w:sectPr>
          <w:pgSz w:w="11910" w:h="16840"/>
          <w:pgMar w:header="0" w:footer="832" w:top="1580" w:bottom="1020" w:left="1300" w:right="1280"/>
        </w:sectPr>
      </w:pPr>
    </w:p>
    <w:p>
      <w:pPr>
        <w:pStyle w:val="BodyText"/>
        <w:spacing w:line="304" w:lineRule="auto" w:before="18"/>
        <w:ind w:left="117" w:right="211" w:firstLine="440"/>
        <w:jc w:val="both"/>
      </w:pPr>
      <w:r>
        <w:rPr>
          <w:rFonts w:ascii="方正黑体_GBK" w:eastAsia="方正黑体_GBK" w:hint="eastAsia"/>
          <w:color w:val="231F20"/>
        </w:rPr>
        <w:t>第三十八条 </w:t>
      </w:r>
      <w:r>
        <w:rPr>
          <w:color w:val="231F20"/>
        </w:rPr>
        <w:t>在监理服务期内，由于国家政策致使工程建设计划重大调整，或不可抗力致使合同不能履行时，双方协商解决因合同终止所产生的遗留问题。</w:t>
      </w:r>
    </w:p>
    <w:p>
      <w:pPr>
        <w:pStyle w:val="BodyText"/>
        <w:tabs>
          <w:tab w:pos="1877" w:val="left" w:leader="none"/>
        </w:tabs>
        <w:spacing w:before="15"/>
      </w:pPr>
      <w:r>
        <w:rPr>
          <w:rFonts w:ascii="方正黑体_GBK" w:eastAsia="方正黑体_GBK" w:hint="eastAsia"/>
          <w:color w:val="231F20"/>
        </w:rPr>
        <w:t>第三十九条</w:t>
        <w:tab/>
      </w:r>
      <w:r>
        <w:rPr>
          <w:color w:val="231F20"/>
        </w:rPr>
        <w:t>本合同在监理期限届满并结清监理服务酬金后即终止。</w:t>
      </w:r>
    </w:p>
    <w:p>
      <w:pPr>
        <w:pStyle w:val="BodyText"/>
        <w:spacing w:before="14"/>
        <w:ind w:left="0"/>
        <w:rPr>
          <w:sz w:val="15"/>
        </w:rPr>
      </w:pPr>
    </w:p>
    <w:p>
      <w:pPr>
        <w:pStyle w:val="Heading2"/>
        <w:spacing w:before="0"/>
        <w:ind w:right="98"/>
      </w:pPr>
      <w:r>
        <w:rPr>
          <w:color w:val="231F20"/>
        </w:rPr>
        <w:t>违约责任</w:t>
      </w:r>
    </w:p>
    <w:p>
      <w:pPr>
        <w:pStyle w:val="BodyText"/>
        <w:tabs>
          <w:tab w:pos="1677" w:val="left" w:leader="none"/>
        </w:tabs>
        <w:spacing w:line="304" w:lineRule="auto" w:before="229"/>
        <w:ind w:left="117" w:right="104" w:firstLine="440"/>
      </w:pPr>
      <w:r>
        <w:rPr>
          <w:rFonts w:ascii="方正黑体_GBK" w:eastAsia="方正黑体_GBK" w:hint="eastAsia"/>
          <w:color w:val="231F20"/>
          <w:spacing w:val="5"/>
        </w:rPr>
        <w:t>第四十</w:t>
      </w:r>
      <w:r>
        <w:rPr>
          <w:rFonts w:ascii="方正黑体_GBK" w:eastAsia="方正黑体_GBK" w:hint="eastAsia"/>
          <w:color w:val="231F20"/>
        </w:rPr>
        <w:t>条</w:t>
        <w:tab/>
      </w:r>
      <w:r>
        <w:rPr>
          <w:color w:val="231F20"/>
          <w:spacing w:val="5"/>
        </w:rPr>
        <w:t>委托人未履行合同条款第十</w:t>
      </w:r>
      <w:r>
        <w:rPr>
          <w:color w:val="231F20"/>
        </w:rPr>
        <w:t>条</w:t>
      </w:r>
      <w:r>
        <w:rPr>
          <w:color w:val="231F20"/>
          <w:spacing w:val="5"/>
        </w:rPr>
        <w:t>、第十一</w:t>
      </w:r>
      <w:r>
        <w:rPr>
          <w:color w:val="231F20"/>
        </w:rPr>
        <w:t>条</w:t>
      </w:r>
      <w:r>
        <w:rPr>
          <w:color w:val="231F20"/>
          <w:spacing w:val="5"/>
        </w:rPr>
        <w:t>、第十三</w:t>
      </w:r>
      <w:r>
        <w:rPr>
          <w:color w:val="231F20"/>
        </w:rPr>
        <w:t>条</w:t>
      </w:r>
      <w:r>
        <w:rPr>
          <w:color w:val="231F20"/>
          <w:spacing w:val="5"/>
        </w:rPr>
        <w:t>、第十四</w:t>
      </w:r>
      <w:r>
        <w:rPr>
          <w:color w:val="231F20"/>
        </w:rPr>
        <w:t>条</w:t>
      </w:r>
      <w:r>
        <w:rPr>
          <w:color w:val="231F20"/>
          <w:spacing w:val="5"/>
        </w:rPr>
        <w:t>、第十五</w:t>
      </w:r>
      <w:r>
        <w:rPr>
          <w:color w:val="231F20"/>
        </w:rPr>
        <w:t>条、第十六条、第十七条、第十九条约定的义务和责任，除按专用合同条款约定向监理人支付违约金外，还应继续履行合同约定的义务和责任。</w:t>
      </w:r>
    </w:p>
    <w:p>
      <w:pPr>
        <w:pStyle w:val="BodyText"/>
        <w:spacing w:line="304" w:lineRule="auto" w:before="15"/>
        <w:ind w:left="117" w:right="211" w:firstLine="440"/>
        <w:jc w:val="both"/>
      </w:pPr>
      <w:r>
        <w:rPr>
          <w:rFonts w:ascii="方正黑体_GBK" w:eastAsia="方正黑体_GBK" w:hint="eastAsia"/>
          <w:color w:val="231F20"/>
        </w:rPr>
        <w:t>第四十一条 </w:t>
      </w:r>
      <w:r>
        <w:rPr>
          <w:color w:val="231F20"/>
        </w:rPr>
        <w:t>委托人未按合同条款第三十二条、第三十三条、第三十四条约定支付监理服务酬金，除按专用合同条款约定向监理人支付逾期付款违约金外，还应继续履行合同约定的支付义务。</w:t>
      </w:r>
    </w:p>
    <w:p>
      <w:pPr>
        <w:pStyle w:val="BodyText"/>
        <w:spacing w:line="304" w:lineRule="auto" w:before="15"/>
        <w:ind w:left="117" w:right="209" w:firstLine="440"/>
        <w:jc w:val="both"/>
      </w:pPr>
      <w:r>
        <w:rPr>
          <w:rFonts w:ascii="方正黑体_GBK" w:eastAsia="方正黑体_GBK" w:hint="eastAsia"/>
          <w:color w:val="231F20"/>
        </w:rPr>
        <w:t>第四十二条 </w:t>
      </w:r>
      <w:r>
        <w:rPr>
          <w:color w:val="231F20"/>
        </w:rPr>
        <w:t>监理人未履行合同条款第二十一条、第二十三条、第二十四条、第二十五条、第二十七条、第二十八条、第二十九条、第三十条、第三十一条约定的义务和责任，除按专用合同条款约定向委托人支付违约金外，还应继续履行合同约定的义务和责任。</w:t>
      </w:r>
    </w:p>
    <w:p>
      <w:pPr>
        <w:pStyle w:val="Heading2"/>
        <w:ind w:right="98"/>
      </w:pPr>
      <w:r>
        <w:rPr>
          <w:color w:val="231F20"/>
        </w:rPr>
        <w:t>争议的解决</w:t>
      </w:r>
    </w:p>
    <w:p>
      <w:pPr>
        <w:pStyle w:val="BodyText"/>
        <w:spacing w:line="304" w:lineRule="auto" w:before="229"/>
        <w:ind w:left="117" w:right="209" w:firstLine="440"/>
        <w:jc w:val="both"/>
      </w:pPr>
      <w:r>
        <w:rPr>
          <w:rFonts w:ascii="方正黑体_GBK" w:eastAsia="方正黑体_GBK" w:hint="eastAsia"/>
          <w:color w:val="231F20"/>
          <w:spacing w:val="0"/>
        </w:rPr>
        <w:t>第四十三条  </w:t>
      </w:r>
      <w:r>
        <w:rPr>
          <w:color w:val="231F20"/>
          <w:spacing w:val="-3"/>
        </w:rPr>
        <w:t>本合同发生争议，由当事人双方协商解决；也可由工程项目主管部门或合同</w:t>
      </w:r>
      <w:r>
        <w:rPr>
          <w:color w:val="231F20"/>
          <w:spacing w:val="-6"/>
        </w:rPr>
        <w:t>争议调解机构调解；协商或调解未果时，经当事人双方同意可由仲裁机构仲裁；或向人民法院</w:t>
      </w:r>
      <w:r>
        <w:rPr>
          <w:color w:val="231F20"/>
        </w:rPr>
        <w:t>起诉。争议调解机构、仲裁机构在专用合同条款中约定。</w:t>
      </w:r>
    </w:p>
    <w:p>
      <w:pPr>
        <w:pStyle w:val="BodyText"/>
        <w:spacing w:line="304" w:lineRule="auto" w:before="15"/>
        <w:ind w:left="117" w:right="212" w:firstLine="440"/>
        <w:jc w:val="both"/>
      </w:pPr>
      <w:r>
        <w:rPr>
          <w:rFonts w:ascii="方正黑体_GBK" w:eastAsia="方正黑体_GBK" w:hint="eastAsia"/>
          <w:color w:val="231F20"/>
        </w:rPr>
        <w:t>第四十四条 </w:t>
      </w:r>
      <w:r>
        <w:rPr>
          <w:color w:val="231F20"/>
        </w:rPr>
        <w:t>在争议协商、调解、仲裁或起诉过程中，双方仍应继续履行本合同约定的责任和义务。</w:t>
      </w:r>
    </w:p>
    <w:p>
      <w:pPr>
        <w:pStyle w:val="Heading2"/>
        <w:ind w:right="98"/>
      </w:pPr>
      <w:r>
        <w:rPr>
          <w:color w:val="231F20"/>
        </w:rPr>
        <w:t>其他</w:t>
      </w:r>
    </w:p>
    <w:p>
      <w:pPr>
        <w:pStyle w:val="BodyText"/>
        <w:spacing w:line="304" w:lineRule="auto" w:before="229"/>
        <w:ind w:left="117" w:right="216" w:firstLine="440"/>
        <w:jc w:val="both"/>
      </w:pPr>
      <w:r>
        <w:rPr>
          <w:rFonts w:ascii="方正黑体_GBK" w:eastAsia="方正黑体_GBK" w:hint="eastAsia"/>
          <w:color w:val="231F20"/>
        </w:rPr>
        <w:t>第四十五条 </w:t>
      </w:r>
      <w:r>
        <w:rPr>
          <w:color w:val="231F20"/>
        </w:rPr>
        <w:t>委托人可以对监理人提出并落实的合理化建议给予奖励。奖励办法在专用合同条款中约定。</w:t>
      </w:r>
    </w:p>
    <w:p>
      <w:pPr>
        <w:spacing w:after="0" w:line="304" w:lineRule="auto"/>
        <w:jc w:val="both"/>
        <w:sectPr>
          <w:pgSz w:w="11910" w:h="16840"/>
          <w:pgMar w:header="0" w:footer="832" w:top="1580" w:bottom="1020" w:left="1300" w:right="1200"/>
        </w:sectPr>
      </w:pPr>
    </w:p>
    <w:p>
      <w:pPr>
        <w:pStyle w:val="BodyText"/>
        <w:ind w:left="0"/>
        <w:rPr>
          <w:sz w:val="20"/>
        </w:rPr>
      </w:pPr>
    </w:p>
    <w:p>
      <w:pPr>
        <w:pStyle w:val="BodyText"/>
        <w:ind w:left="0"/>
        <w:rPr>
          <w:sz w:val="20"/>
        </w:rPr>
      </w:pPr>
    </w:p>
    <w:p>
      <w:pPr>
        <w:pStyle w:val="Heading1"/>
        <w:tabs>
          <w:tab w:pos="1399" w:val="left" w:leader="none"/>
        </w:tabs>
      </w:pPr>
      <w:r>
        <w:rPr>
          <w:color w:val="231F20"/>
        </w:rPr>
        <w:t>第二部分</w:t>
        <w:tab/>
        <w:t>专用合同条款</w:t>
      </w:r>
    </w:p>
    <w:p>
      <w:pPr>
        <w:pStyle w:val="BodyText"/>
        <w:spacing w:before="12"/>
        <w:ind w:left="0"/>
        <w:rPr>
          <w:rFonts w:ascii="方正黑体_GBK"/>
          <w:sz w:val="35"/>
        </w:rPr>
      </w:pPr>
    </w:p>
    <w:p>
      <w:pPr>
        <w:pStyle w:val="Heading2"/>
        <w:spacing w:before="0"/>
      </w:pPr>
      <w:r>
        <w:rPr>
          <w:color w:val="231F20"/>
        </w:rPr>
        <w:t>监理依据</w:t>
      </w:r>
    </w:p>
    <w:p>
      <w:pPr>
        <w:pStyle w:val="BodyText"/>
        <w:tabs>
          <w:tab w:pos="1437" w:val="left" w:leader="none"/>
          <w:tab w:pos="5121" w:val="left" w:leader="none"/>
        </w:tabs>
        <w:spacing w:before="229"/>
      </w:pPr>
      <w:r>
        <w:rPr>
          <w:rFonts w:ascii="方正黑体_GBK" w:eastAsia="方正黑体_GBK" w:hint="eastAsia"/>
          <w:color w:val="231F20"/>
        </w:rPr>
        <w:t>第三条</w:t>
        <w:tab/>
      </w:r>
      <w:r>
        <w:rPr>
          <w:color w:val="231F20"/>
        </w:rPr>
        <w:t>本合同的监理依据为</w:t>
      </w:r>
      <w:r>
        <w:rPr>
          <w:color w:val="231F20"/>
          <w:u w:val="single" w:color="231F20"/>
        </w:rPr>
        <w:t>：</w:t>
        <w:tab/>
      </w:r>
      <w:r>
        <w:rPr>
          <w:color w:val="231F20"/>
        </w:rPr>
        <w:t>。</w:t>
      </w:r>
    </w:p>
    <w:p>
      <w:pPr>
        <w:pStyle w:val="BodyText"/>
        <w:spacing w:before="14"/>
        <w:ind w:left="0"/>
        <w:rPr>
          <w:sz w:val="15"/>
        </w:rPr>
      </w:pPr>
    </w:p>
    <w:p>
      <w:pPr>
        <w:pStyle w:val="Heading2"/>
        <w:spacing w:before="0"/>
      </w:pPr>
      <w:r>
        <w:rPr>
          <w:color w:val="231F20"/>
        </w:rPr>
        <w:t>委托人的权利</w:t>
      </w:r>
    </w:p>
    <w:p>
      <w:pPr>
        <w:pStyle w:val="BodyText"/>
        <w:spacing w:before="229"/>
        <w:rPr>
          <w:rFonts w:ascii="方正黑体_GBK" w:eastAsia="方正黑体_GBK" w:hint="eastAsia"/>
        </w:rPr>
      </w:pPr>
      <w:r>
        <w:rPr>
          <w:rFonts w:ascii="方正黑体_GBK" w:eastAsia="方正黑体_GBK" w:hint="eastAsia"/>
          <w:color w:val="231F20"/>
        </w:rPr>
        <w:t>第七条</w:t>
      </w:r>
    </w:p>
    <w:p>
      <w:pPr>
        <w:pStyle w:val="BodyText"/>
        <w:tabs>
          <w:tab w:pos="2314" w:val="left" w:leader="none"/>
        </w:tabs>
        <w:spacing w:line="304" w:lineRule="auto" w:before="102"/>
        <w:ind w:right="3026"/>
      </w:pPr>
      <w:r>
        <w:rPr>
          <w:color w:val="231F20"/>
        </w:rPr>
        <w:t>五、当监理人发生下列违约情形时，委托人有权解除合同： 1.</w:t>
      </w:r>
      <w:r>
        <w:rPr>
          <w:color w:val="231F20"/>
          <w:u w:val="single" w:color="231F20"/>
        </w:rPr>
        <w:tab/>
      </w:r>
      <w:r>
        <w:rPr>
          <w:color w:val="231F20"/>
        </w:rPr>
        <w:t>；</w:t>
      </w:r>
    </w:p>
    <w:p>
      <w:pPr>
        <w:pStyle w:val="BodyText"/>
        <w:tabs>
          <w:tab w:pos="2260" w:val="left" w:leader="none"/>
        </w:tabs>
        <w:spacing w:before="21"/>
      </w:pPr>
      <w:r>
        <w:rPr>
          <w:color w:val="231F20"/>
        </w:rPr>
        <w:t>2.</w:t>
      </w:r>
      <w:r>
        <w:rPr>
          <w:color w:val="231F20"/>
          <w:u w:val="single" w:color="231F20"/>
        </w:rPr>
        <w:tab/>
      </w:r>
      <w:r>
        <w:rPr>
          <w:color w:val="231F20"/>
        </w:rPr>
        <w:t>；</w:t>
      </w:r>
    </w:p>
    <w:p>
      <w:pPr>
        <w:pStyle w:val="BodyText"/>
        <w:tabs>
          <w:tab w:pos="2314" w:val="left" w:leader="none"/>
        </w:tabs>
        <w:spacing w:before="89"/>
      </w:pPr>
      <w:r>
        <w:rPr>
          <w:color w:val="231F20"/>
        </w:rPr>
        <w:t>3.</w:t>
      </w:r>
      <w:r>
        <w:rPr>
          <w:color w:val="231F20"/>
          <w:u w:val="single" w:color="231F20"/>
        </w:rPr>
        <w:tab/>
      </w:r>
      <w:r>
        <w:rPr>
          <w:color w:val="231F20"/>
        </w:rPr>
        <w:t>。</w:t>
      </w:r>
    </w:p>
    <w:p>
      <w:pPr>
        <w:pStyle w:val="BodyText"/>
        <w:spacing w:before="13"/>
        <w:ind w:left="0"/>
        <w:rPr>
          <w:sz w:val="15"/>
        </w:rPr>
      </w:pPr>
    </w:p>
    <w:p>
      <w:pPr>
        <w:pStyle w:val="Heading2"/>
        <w:spacing w:before="1"/>
      </w:pPr>
      <w:r>
        <w:rPr>
          <w:color w:val="231F20"/>
        </w:rPr>
        <w:t>监理人的权利</w:t>
      </w:r>
    </w:p>
    <w:p>
      <w:pPr>
        <w:pStyle w:val="BodyText"/>
        <w:spacing w:before="229"/>
        <w:rPr>
          <w:rFonts w:ascii="方正黑体_GBK" w:eastAsia="方正黑体_GBK" w:hint="eastAsia"/>
        </w:rPr>
      </w:pPr>
      <w:r>
        <w:rPr>
          <w:rFonts w:ascii="方正黑体_GBK" w:eastAsia="方正黑体_GBK" w:hint="eastAsia"/>
          <w:color w:val="231F20"/>
        </w:rPr>
        <w:t>第八条</w:t>
      </w:r>
    </w:p>
    <w:p>
      <w:pPr>
        <w:pStyle w:val="BodyText"/>
        <w:tabs>
          <w:tab w:pos="3414" w:val="left" w:leader="none"/>
        </w:tabs>
        <w:spacing w:line="304" w:lineRule="auto" w:before="101"/>
        <w:ind w:right="3026"/>
      </w:pPr>
      <w:r>
        <w:rPr>
          <w:color w:val="231F20"/>
        </w:rPr>
        <w:t>八、当委托人发生下列违约情形时，监理人有权解除合同： 1.</w:t>
      </w:r>
      <w:r>
        <w:rPr>
          <w:color w:val="231F20"/>
          <w:u w:val="single" w:color="231F20"/>
        </w:rPr>
        <w:tab/>
      </w:r>
      <w:r>
        <w:rPr>
          <w:color w:val="231F20"/>
        </w:rPr>
        <w:t>；</w:t>
      </w:r>
    </w:p>
    <w:p>
      <w:pPr>
        <w:pStyle w:val="BodyText"/>
        <w:tabs>
          <w:tab w:pos="3414" w:val="left" w:leader="none"/>
        </w:tabs>
        <w:spacing w:before="20"/>
      </w:pPr>
      <w:r>
        <w:rPr>
          <w:color w:val="231F20"/>
        </w:rPr>
        <w:t>2.</w:t>
      </w:r>
      <w:r>
        <w:rPr>
          <w:color w:val="231F20"/>
          <w:u w:val="single" w:color="231F20"/>
        </w:rPr>
        <w:tab/>
      </w:r>
      <w:r>
        <w:rPr>
          <w:color w:val="231F20"/>
        </w:rPr>
        <w:t>；</w:t>
      </w:r>
    </w:p>
    <w:p>
      <w:pPr>
        <w:pStyle w:val="BodyText"/>
        <w:tabs>
          <w:tab w:pos="3414" w:val="left" w:leader="none"/>
        </w:tabs>
        <w:spacing w:before="89"/>
      </w:pPr>
      <w:r>
        <w:rPr>
          <w:color w:val="231F20"/>
        </w:rPr>
        <w:t>3.</w:t>
      </w:r>
      <w:r>
        <w:rPr>
          <w:color w:val="231F20"/>
          <w:u w:val="single" w:color="231F20"/>
        </w:rPr>
        <w:tab/>
      </w:r>
      <w:r>
        <w:rPr>
          <w:color w:val="231F20"/>
        </w:rPr>
        <w:t>。</w:t>
      </w:r>
    </w:p>
    <w:p>
      <w:pPr>
        <w:pStyle w:val="BodyText"/>
        <w:spacing w:before="89"/>
      </w:pPr>
      <w:r>
        <w:rPr>
          <w:color w:val="231F20"/>
        </w:rPr>
        <w:t>九、委托人赋予监理人的其他权利：</w:t>
      </w:r>
    </w:p>
    <w:p>
      <w:pPr>
        <w:pStyle w:val="ListParagraph"/>
        <w:numPr>
          <w:ilvl w:val="0"/>
          <w:numId w:val="5"/>
        </w:numPr>
        <w:tabs>
          <w:tab w:pos="776" w:val="left" w:leader="none"/>
        </w:tabs>
        <w:spacing w:line="240" w:lineRule="auto" w:before="89" w:after="0"/>
        <w:ind w:left="775" w:right="0" w:hanging="218"/>
        <w:jc w:val="left"/>
        <w:rPr>
          <w:sz w:val="22"/>
        </w:rPr>
      </w:pPr>
      <w:r>
        <w:rPr>
          <w:color w:val="231F20"/>
          <w:sz w:val="22"/>
        </w:rPr>
        <w:t>签发工程移交证书（</w:t>
      </w:r>
      <w:r>
        <w:rPr>
          <w:color w:val="231F20"/>
          <w:spacing w:val="-6"/>
          <w:sz w:val="22"/>
        </w:rPr>
        <w:t>若不授予则删除此款；若授予应约定监理人的具体权限</w:t>
      </w:r>
      <w:r>
        <w:rPr>
          <w:color w:val="231F20"/>
          <w:spacing w:val="-28"/>
          <w:sz w:val="22"/>
        </w:rPr>
        <w:t>）；</w:t>
      </w:r>
    </w:p>
    <w:p>
      <w:pPr>
        <w:pStyle w:val="ListParagraph"/>
        <w:numPr>
          <w:ilvl w:val="0"/>
          <w:numId w:val="5"/>
        </w:numPr>
        <w:tabs>
          <w:tab w:pos="776" w:val="left" w:leader="none"/>
        </w:tabs>
        <w:spacing w:line="240" w:lineRule="auto" w:before="89" w:after="0"/>
        <w:ind w:left="775" w:right="0" w:hanging="218"/>
        <w:jc w:val="left"/>
        <w:rPr>
          <w:sz w:val="22"/>
        </w:rPr>
      </w:pPr>
      <w:r>
        <w:rPr>
          <w:color w:val="231F20"/>
          <w:sz w:val="22"/>
        </w:rPr>
        <w:t>签发保修责任终止证书（</w:t>
      </w:r>
      <w:r>
        <w:rPr>
          <w:color w:val="231F20"/>
          <w:spacing w:val="-6"/>
          <w:sz w:val="22"/>
        </w:rPr>
        <w:t>若不授予则删除此款；若授予应约定监理人的具体权限</w:t>
      </w:r>
      <w:r>
        <w:rPr>
          <w:color w:val="231F20"/>
          <w:spacing w:val="-28"/>
          <w:sz w:val="22"/>
        </w:rPr>
        <w:t>）；</w:t>
      </w:r>
    </w:p>
    <w:p>
      <w:pPr>
        <w:pStyle w:val="ListParagraph"/>
        <w:numPr>
          <w:ilvl w:val="0"/>
          <w:numId w:val="5"/>
        </w:numPr>
        <w:tabs>
          <w:tab w:pos="775" w:val="left" w:leader="none"/>
          <w:tab w:pos="3414" w:val="left" w:leader="none"/>
        </w:tabs>
        <w:spacing w:line="240" w:lineRule="auto" w:before="89" w:after="0"/>
        <w:ind w:left="774" w:right="0" w:hanging="217"/>
        <w:jc w:val="left"/>
        <w:rPr>
          <w:sz w:val="22"/>
        </w:rPr>
      </w:pPr>
      <w:r>
        <w:rPr>
          <w:rFonts w:ascii="Times New Roman" w:eastAsia="Times New Roman"/>
          <w:color w:val="231F20"/>
          <w:sz w:val="22"/>
          <w:u w:val="single" w:color="231F20"/>
        </w:rPr>
        <w:t> </w:t>
        <w:tab/>
      </w:r>
      <w:r>
        <w:rPr>
          <w:rFonts w:ascii="Times New Roman" w:eastAsia="Times New Roman"/>
          <w:color w:val="231F20"/>
          <w:spacing w:val="-1"/>
          <w:sz w:val="22"/>
        </w:rPr>
        <w:t> </w:t>
      </w:r>
      <w:r>
        <w:rPr>
          <w:color w:val="231F20"/>
          <w:sz w:val="22"/>
        </w:rPr>
        <w:t>。</w:t>
      </w:r>
    </w:p>
    <w:p>
      <w:pPr>
        <w:pStyle w:val="BodyText"/>
        <w:spacing w:before="14"/>
        <w:ind w:left="0"/>
        <w:rPr>
          <w:sz w:val="15"/>
        </w:rPr>
      </w:pPr>
    </w:p>
    <w:p>
      <w:pPr>
        <w:pStyle w:val="Heading2"/>
        <w:spacing w:before="0"/>
      </w:pPr>
      <w:r>
        <w:rPr>
          <w:color w:val="231F20"/>
        </w:rPr>
        <w:t>委托人的义务</w:t>
      </w:r>
    </w:p>
    <w:p>
      <w:pPr>
        <w:pStyle w:val="BodyText"/>
        <w:tabs>
          <w:tab w:pos="1437" w:val="left" w:leader="none"/>
        </w:tabs>
        <w:spacing w:before="229"/>
      </w:pPr>
      <w:r>
        <w:rPr>
          <w:rFonts w:ascii="方正黑体_GBK" w:eastAsia="方正黑体_GBK" w:hint="eastAsia"/>
          <w:color w:val="231F20"/>
        </w:rPr>
        <w:t>第十条</w:t>
        <w:tab/>
      </w:r>
      <w:r>
        <w:rPr>
          <w:color w:val="231F20"/>
        </w:rPr>
        <w:t>委托人向监理机构免费提供的资料为：</w:t>
      </w:r>
    </w:p>
    <w:p>
      <w:pPr>
        <w:pStyle w:val="BodyText"/>
        <w:spacing w:before="14"/>
        <w:ind w:left="0"/>
        <w:rPr>
          <w:sz w:val="12"/>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810"/>
        <w:gridCol w:w="1574"/>
        <w:gridCol w:w="810"/>
        <w:gridCol w:w="1574"/>
        <w:gridCol w:w="1574"/>
        <w:gridCol w:w="2718"/>
      </w:tblGrid>
      <w:tr>
        <w:trPr>
          <w:trHeight w:val="360" w:hRule="atLeast"/>
        </w:trPr>
        <w:tc>
          <w:tcPr>
            <w:tcW w:w="810" w:type="dxa"/>
          </w:tcPr>
          <w:p>
            <w:pPr>
              <w:pStyle w:val="TableParagraph"/>
              <w:spacing w:before="29"/>
              <w:ind w:left="224"/>
              <w:rPr>
                <w:sz w:val="18"/>
              </w:rPr>
            </w:pPr>
            <w:r>
              <w:rPr>
                <w:color w:val="231F20"/>
                <w:sz w:val="18"/>
              </w:rPr>
              <w:t>序号</w:t>
            </w:r>
          </w:p>
        </w:tc>
        <w:tc>
          <w:tcPr>
            <w:tcW w:w="1574" w:type="dxa"/>
          </w:tcPr>
          <w:p>
            <w:pPr>
              <w:pStyle w:val="TableParagraph"/>
              <w:spacing w:before="29"/>
              <w:ind w:left="426"/>
              <w:rPr>
                <w:sz w:val="18"/>
              </w:rPr>
            </w:pPr>
            <w:r>
              <w:rPr>
                <w:color w:val="231F20"/>
                <w:sz w:val="18"/>
              </w:rPr>
              <w:t>资料名称</w:t>
            </w:r>
          </w:p>
        </w:tc>
        <w:tc>
          <w:tcPr>
            <w:tcW w:w="810" w:type="dxa"/>
          </w:tcPr>
          <w:p>
            <w:pPr>
              <w:pStyle w:val="TableParagraph"/>
              <w:spacing w:before="29"/>
              <w:ind w:left="225"/>
              <w:rPr>
                <w:sz w:val="18"/>
              </w:rPr>
            </w:pPr>
            <w:r>
              <w:rPr>
                <w:color w:val="231F20"/>
                <w:sz w:val="18"/>
              </w:rPr>
              <w:t>份数</w:t>
            </w:r>
          </w:p>
        </w:tc>
        <w:tc>
          <w:tcPr>
            <w:tcW w:w="1574" w:type="dxa"/>
          </w:tcPr>
          <w:p>
            <w:pPr>
              <w:pStyle w:val="TableParagraph"/>
              <w:spacing w:before="29"/>
              <w:ind w:left="427"/>
              <w:rPr>
                <w:sz w:val="18"/>
              </w:rPr>
            </w:pPr>
            <w:r>
              <w:rPr>
                <w:color w:val="231F20"/>
                <w:sz w:val="18"/>
              </w:rPr>
              <w:t>提供时间</w:t>
            </w:r>
          </w:p>
        </w:tc>
        <w:tc>
          <w:tcPr>
            <w:tcW w:w="1574" w:type="dxa"/>
          </w:tcPr>
          <w:p>
            <w:pPr>
              <w:pStyle w:val="TableParagraph"/>
              <w:spacing w:before="29"/>
              <w:ind w:left="427"/>
              <w:rPr>
                <w:sz w:val="18"/>
              </w:rPr>
            </w:pPr>
            <w:r>
              <w:rPr>
                <w:color w:val="231F20"/>
                <w:sz w:val="18"/>
              </w:rPr>
              <w:t>收回时间</w:t>
            </w:r>
          </w:p>
        </w:tc>
        <w:tc>
          <w:tcPr>
            <w:tcW w:w="2718" w:type="dxa"/>
          </w:tcPr>
          <w:p>
            <w:pPr>
              <w:pStyle w:val="TableParagraph"/>
              <w:spacing w:before="29"/>
              <w:ind w:left="730"/>
              <w:rPr>
                <w:sz w:val="18"/>
              </w:rPr>
            </w:pPr>
            <w:r>
              <w:rPr>
                <w:color w:val="231F20"/>
                <w:sz w:val="18"/>
              </w:rPr>
              <w:t>保存和保密要求</w:t>
            </w:r>
          </w:p>
        </w:tc>
      </w:tr>
      <w:tr>
        <w:trPr>
          <w:trHeight w:val="360" w:hRule="atLeast"/>
        </w:trPr>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1574" w:type="dxa"/>
          </w:tcPr>
          <w:p>
            <w:pPr>
              <w:pStyle w:val="TableParagraph"/>
              <w:rPr>
                <w:rFonts w:ascii="Times New Roman"/>
                <w:sz w:val="22"/>
              </w:rPr>
            </w:pPr>
          </w:p>
        </w:tc>
        <w:tc>
          <w:tcPr>
            <w:tcW w:w="2718" w:type="dxa"/>
          </w:tcPr>
          <w:p>
            <w:pPr>
              <w:pStyle w:val="TableParagraph"/>
              <w:rPr>
                <w:rFonts w:ascii="Times New Roman"/>
                <w:sz w:val="22"/>
              </w:rPr>
            </w:pPr>
          </w:p>
        </w:tc>
      </w:tr>
      <w:tr>
        <w:trPr>
          <w:trHeight w:val="360" w:hRule="atLeast"/>
        </w:trPr>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1574" w:type="dxa"/>
          </w:tcPr>
          <w:p>
            <w:pPr>
              <w:pStyle w:val="TableParagraph"/>
              <w:rPr>
                <w:rFonts w:ascii="Times New Roman"/>
                <w:sz w:val="22"/>
              </w:rPr>
            </w:pPr>
          </w:p>
        </w:tc>
        <w:tc>
          <w:tcPr>
            <w:tcW w:w="2718" w:type="dxa"/>
          </w:tcPr>
          <w:p>
            <w:pPr>
              <w:pStyle w:val="TableParagraph"/>
              <w:rPr>
                <w:rFonts w:ascii="Times New Roman"/>
                <w:sz w:val="22"/>
              </w:rPr>
            </w:pPr>
          </w:p>
        </w:tc>
      </w:tr>
      <w:tr>
        <w:trPr>
          <w:trHeight w:val="360" w:hRule="atLeast"/>
        </w:trPr>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1574" w:type="dxa"/>
          </w:tcPr>
          <w:p>
            <w:pPr>
              <w:pStyle w:val="TableParagraph"/>
              <w:rPr>
                <w:rFonts w:ascii="Times New Roman"/>
                <w:sz w:val="22"/>
              </w:rPr>
            </w:pPr>
          </w:p>
        </w:tc>
        <w:tc>
          <w:tcPr>
            <w:tcW w:w="2718" w:type="dxa"/>
          </w:tcPr>
          <w:p>
            <w:pPr>
              <w:pStyle w:val="TableParagraph"/>
              <w:rPr>
                <w:rFonts w:ascii="Times New Roman"/>
                <w:sz w:val="22"/>
              </w:rPr>
            </w:pPr>
          </w:p>
        </w:tc>
      </w:tr>
      <w:tr>
        <w:trPr>
          <w:trHeight w:val="360" w:hRule="atLeast"/>
        </w:trPr>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1574" w:type="dxa"/>
          </w:tcPr>
          <w:p>
            <w:pPr>
              <w:pStyle w:val="TableParagraph"/>
              <w:rPr>
                <w:rFonts w:ascii="Times New Roman"/>
                <w:sz w:val="22"/>
              </w:rPr>
            </w:pPr>
          </w:p>
        </w:tc>
        <w:tc>
          <w:tcPr>
            <w:tcW w:w="2718" w:type="dxa"/>
          </w:tcPr>
          <w:p>
            <w:pPr>
              <w:pStyle w:val="TableParagraph"/>
              <w:rPr>
                <w:rFonts w:ascii="Times New Roman"/>
                <w:sz w:val="22"/>
              </w:rPr>
            </w:pPr>
          </w:p>
        </w:tc>
      </w:tr>
      <w:tr>
        <w:trPr>
          <w:trHeight w:val="360" w:hRule="atLeast"/>
        </w:trPr>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810" w:type="dxa"/>
          </w:tcPr>
          <w:p>
            <w:pPr>
              <w:pStyle w:val="TableParagraph"/>
              <w:rPr>
                <w:rFonts w:ascii="Times New Roman"/>
                <w:sz w:val="22"/>
              </w:rPr>
            </w:pPr>
          </w:p>
        </w:tc>
        <w:tc>
          <w:tcPr>
            <w:tcW w:w="1574" w:type="dxa"/>
          </w:tcPr>
          <w:p>
            <w:pPr>
              <w:pStyle w:val="TableParagraph"/>
              <w:rPr>
                <w:rFonts w:ascii="Times New Roman"/>
                <w:sz w:val="22"/>
              </w:rPr>
            </w:pPr>
          </w:p>
        </w:tc>
        <w:tc>
          <w:tcPr>
            <w:tcW w:w="1574" w:type="dxa"/>
          </w:tcPr>
          <w:p>
            <w:pPr>
              <w:pStyle w:val="TableParagraph"/>
              <w:rPr>
                <w:rFonts w:ascii="Times New Roman"/>
                <w:sz w:val="22"/>
              </w:rPr>
            </w:pPr>
          </w:p>
        </w:tc>
        <w:tc>
          <w:tcPr>
            <w:tcW w:w="2718" w:type="dxa"/>
          </w:tcPr>
          <w:p>
            <w:pPr>
              <w:pStyle w:val="TableParagraph"/>
              <w:rPr>
                <w:rFonts w:ascii="Times New Roman"/>
                <w:sz w:val="22"/>
              </w:rPr>
            </w:pPr>
          </w:p>
        </w:tc>
      </w:tr>
    </w:tbl>
    <w:p>
      <w:pPr>
        <w:spacing w:after="0"/>
        <w:rPr>
          <w:rFonts w:ascii="Times New Roman"/>
          <w:sz w:val="22"/>
        </w:rPr>
        <w:sectPr>
          <w:footerReference w:type="even" r:id="rId7"/>
          <w:footerReference w:type="default" r:id="rId8"/>
          <w:pgSz w:w="11910" w:h="16840"/>
          <w:pgMar w:footer="832" w:header="0" w:top="1580" w:bottom="1020" w:left="1300" w:right="1300"/>
        </w:sectPr>
      </w:pPr>
    </w:p>
    <w:p>
      <w:pPr>
        <w:pStyle w:val="BodyText"/>
        <w:tabs>
          <w:tab w:pos="1687" w:val="left" w:leader="none"/>
          <w:tab w:pos="2262" w:val="left" w:leader="none"/>
          <w:tab w:pos="4407" w:val="left" w:leader="none"/>
          <w:tab w:pos="6552" w:val="left" w:leader="none"/>
        </w:tabs>
        <w:spacing w:line="304" w:lineRule="auto" w:before="18"/>
        <w:ind w:left="117" w:right="117" w:firstLine="440"/>
      </w:pPr>
      <w:r>
        <w:rPr>
          <w:rFonts w:ascii="方正黑体_GBK" w:eastAsia="方正黑体_GBK" w:hint="eastAsia"/>
          <w:color w:val="231F20"/>
          <w:spacing w:val="5"/>
        </w:rPr>
        <w:t>第十一</w:t>
      </w:r>
      <w:r>
        <w:rPr>
          <w:rFonts w:ascii="方正黑体_GBK" w:eastAsia="方正黑体_GBK" w:hint="eastAsia"/>
          <w:color w:val="231F20"/>
        </w:rPr>
        <w:t>条</w:t>
        <w:tab/>
      </w:r>
      <w:r>
        <w:rPr>
          <w:color w:val="231F20"/>
          <w:spacing w:val="5"/>
        </w:rPr>
        <w:t>委托人对监理机构书面提交并要求作出决定的事宜作出书面决定并送达的时 </w:t>
      </w:r>
      <w:r>
        <w:rPr>
          <w:color w:val="231F20"/>
        </w:rPr>
        <w:t>限</w:t>
      </w:r>
      <w:r>
        <w:rPr>
          <w:color w:val="231F20"/>
          <w:spacing w:val="-55"/>
        </w:rPr>
        <w:t>：</w:t>
      </w:r>
      <w:r>
        <w:rPr>
          <w:color w:val="231F20"/>
        </w:rPr>
        <w:t>一般文件</w:t>
      </w:r>
      <w:r>
        <w:rPr>
          <w:color w:val="231F20"/>
          <w:u w:val="single" w:color="231F20"/>
        </w:rPr>
        <w:t> </w:t>
        <w:tab/>
        <w:tab/>
      </w:r>
      <w:r>
        <w:rPr>
          <w:color w:val="231F20"/>
        </w:rPr>
        <w:t>天</w:t>
      </w:r>
      <w:r>
        <w:rPr>
          <w:color w:val="231F20"/>
          <w:spacing w:val="-55"/>
        </w:rPr>
        <w:t>；</w:t>
      </w:r>
      <w:r>
        <w:rPr>
          <w:color w:val="231F20"/>
        </w:rPr>
        <w:t>紧急事项</w:t>
      </w:r>
      <w:r>
        <w:rPr>
          <w:color w:val="231F20"/>
          <w:u w:val="single" w:color="231F20"/>
        </w:rPr>
        <w:t> </w:t>
        <w:tab/>
      </w:r>
      <w:r>
        <w:rPr>
          <w:color w:val="231F20"/>
        </w:rPr>
        <w:t>天</w:t>
      </w:r>
      <w:r>
        <w:rPr>
          <w:color w:val="231F20"/>
          <w:spacing w:val="-55"/>
        </w:rPr>
        <w:t>；</w:t>
      </w:r>
      <w:r>
        <w:rPr>
          <w:color w:val="231F20"/>
        </w:rPr>
        <w:t>变更文件</w:t>
      </w:r>
      <w:r>
        <w:rPr>
          <w:color w:val="231F20"/>
          <w:u w:val="single" w:color="231F20"/>
        </w:rPr>
        <w:t> </w:t>
        <w:tab/>
      </w:r>
      <w:r>
        <w:rPr>
          <w:color w:val="231F20"/>
        </w:rPr>
        <w:t>天。</w:t>
      </w:r>
    </w:p>
    <w:p>
      <w:pPr>
        <w:pStyle w:val="BodyText"/>
        <w:tabs>
          <w:tab w:pos="1657" w:val="left" w:leader="none"/>
        </w:tabs>
        <w:spacing w:before="15"/>
      </w:pPr>
      <w:r>
        <w:rPr>
          <w:rFonts w:ascii="方正黑体_GBK" w:eastAsia="方正黑体_GBK" w:hint="eastAsia"/>
          <w:color w:val="231F20"/>
        </w:rPr>
        <w:t>第十三条</w:t>
        <w:tab/>
      </w:r>
      <w:r>
        <w:rPr>
          <w:color w:val="231F20"/>
        </w:rPr>
        <w:t>委托人无偿向监理机构提供的工作、生活条件为：</w:t>
      </w:r>
    </w:p>
    <w:p>
      <w:pPr>
        <w:pStyle w:val="BodyText"/>
        <w:spacing w:before="14"/>
        <w:ind w:left="0"/>
        <w:rPr>
          <w:sz w:val="12"/>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580"/>
        <w:gridCol w:w="2623"/>
        <w:gridCol w:w="664"/>
        <w:gridCol w:w="664"/>
        <w:gridCol w:w="1288"/>
        <w:gridCol w:w="1288"/>
        <w:gridCol w:w="1288"/>
        <w:gridCol w:w="664"/>
      </w:tblGrid>
      <w:tr>
        <w:trPr>
          <w:trHeight w:val="280" w:hRule="atLeast"/>
        </w:trPr>
        <w:tc>
          <w:tcPr>
            <w:tcW w:w="580" w:type="dxa"/>
          </w:tcPr>
          <w:p>
            <w:pPr>
              <w:pStyle w:val="TableParagraph"/>
              <w:spacing w:line="259" w:lineRule="exact"/>
              <w:ind w:left="89" w:right="81"/>
              <w:jc w:val="center"/>
              <w:rPr>
                <w:sz w:val="18"/>
              </w:rPr>
            </w:pPr>
            <w:r>
              <w:rPr>
                <w:color w:val="231F20"/>
                <w:sz w:val="18"/>
              </w:rPr>
              <w:t>序号</w:t>
            </w:r>
          </w:p>
        </w:tc>
        <w:tc>
          <w:tcPr>
            <w:tcW w:w="2623" w:type="dxa"/>
          </w:tcPr>
          <w:p>
            <w:pPr>
              <w:pStyle w:val="TableParagraph"/>
              <w:spacing w:line="259" w:lineRule="exact"/>
              <w:ind w:left="1111" w:right="1102"/>
              <w:jc w:val="center"/>
              <w:rPr>
                <w:sz w:val="18"/>
              </w:rPr>
            </w:pPr>
            <w:r>
              <w:rPr>
                <w:color w:val="231F20"/>
                <w:sz w:val="18"/>
              </w:rPr>
              <w:t>名称</w:t>
            </w:r>
          </w:p>
        </w:tc>
        <w:tc>
          <w:tcPr>
            <w:tcW w:w="664" w:type="dxa"/>
          </w:tcPr>
          <w:p>
            <w:pPr>
              <w:pStyle w:val="TableParagraph"/>
              <w:spacing w:line="259" w:lineRule="exact"/>
              <w:ind w:left="152"/>
              <w:rPr>
                <w:sz w:val="18"/>
              </w:rPr>
            </w:pPr>
            <w:r>
              <w:rPr>
                <w:color w:val="231F20"/>
                <w:sz w:val="18"/>
              </w:rPr>
              <w:t>单位</w:t>
            </w:r>
          </w:p>
        </w:tc>
        <w:tc>
          <w:tcPr>
            <w:tcW w:w="664" w:type="dxa"/>
          </w:tcPr>
          <w:p>
            <w:pPr>
              <w:pStyle w:val="TableParagraph"/>
              <w:spacing w:line="259" w:lineRule="exact"/>
              <w:ind w:left="152"/>
              <w:rPr>
                <w:sz w:val="18"/>
              </w:rPr>
            </w:pPr>
            <w:r>
              <w:rPr>
                <w:color w:val="231F20"/>
                <w:sz w:val="18"/>
              </w:rPr>
              <w:t>数量</w:t>
            </w:r>
          </w:p>
        </w:tc>
        <w:tc>
          <w:tcPr>
            <w:tcW w:w="1288" w:type="dxa"/>
          </w:tcPr>
          <w:p>
            <w:pPr>
              <w:pStyle w:val="TableParagraph"/>
              <w:spacing w:line="259" w:lineRule="exact"/>
              <w:ind w:left="284"/>
              <w:rPr>
                <w:sz w:val="18"/>
              </w:rPr>
            </w:pPr>
            <w:r>
              <w:rPr>
                <w:color w:val="231F20"/>
                <w:sz w:val="18"/>
              </w:rPr>
              <w:t>提供时间</w:t>
            </w:r>
          </w:p>
        </w:tc>
        <w:tc>
          <w:tcPr>
            <w:tcW w:w="1288" w:type="dxa"/>
          </w:tcPr>
          <w:p>
            <w:pPr>
              <w:pStyle w:val="TableParagraph"/>
              <w:spacing w:line="259" w:lineRule="exact"/>
              <w:ind w:left="285"/>
              <w:rPr>
                <w:sz w:val="18"/>
              </w:rPr>
            </w:pPr>
            <w:r>
              <w:rPr>
                <w:color w:val="231F20"/>
                <w:sz w:val="18"/>
              </w:rPr>
              <w:t>交还时间</w:t>
            </w:r>
          </w:p>
        </w:tc>
        <w:tc>
          <w:tcPr>
            <w:tcW w:w="1288" w:type="dxa"/>
          </w:tcPr>
          <w:p>
            <w:pPr>
              <w:pStyle w:val="TableParagraph"/>
              <w:spacing w:line="259" w:lineRule="exact"/>
              <w:ind w:left="286"/>
              <w:rPr>
                <w:sz w:val="18"/>
              </w:rPr>
            </w:pPr>
            <w:r>
              <w:rPr>
                <w:color w:val="231F20"/>
                <w:sz w:val="18"/>
              </w:rPr>
              <w:t>管理要求</w:t>
            </w:r>
          </w:p>
        </w:tc>
        <w:tc>
          <w:tcPr>
            <w:tcW w:w="664" w:type="dxa"/>
          </w:tcPr>
          <w:p>
            <w:pPr>
              <w:pStyle w:val="TableParagraph"/>
              <w:spacing w:line="259" w:lineRule="exact"/>
              <w:ind w:left="154"/>
              <w:rPr>
                <w:sz w:val="18"/>
              </w:rPr>
            </w:pPr>
            <w:r>
              <w:rPr>
                <w:color w:val="231F20"/>
                <w:sz w:val="18"/>
              </w:rPr>
              <w:t>备注</w:t>
            </w:r>
          </w:p>
        </w:tc>
      </w:tr>
      <w:tr>
        <w:trPr>
          <w:trHeight w:val="640" w:hRule="atLeast"/>
        </w:trPr>
        <w:tc>
          <w:tcPr>
            <w:tcW w:w="580" w:type="dxa"/>
          </w:tcPr>
          <w:p>
            <w:pPr>
              <w:pStyle w:val="TableParagraph"/>
              <w:spacing w:before="171"/>
              <w:ind w:left="8"/>
              <w:jc w:val="center"/>
              <w:rPr>
                <w:sz w:val="18"/>
              </w:rPr>
            </w:pPr>
            <w:r>
              <w:rPr>
                <w:color w:val="231F20"/>
                <w:sz w:val="18"/>
              </w:rPr>
              <w:t>1</w:t>
            </w:r>
          </w:p>
        </w:tc>
        <w:tc>
          <w:tcPr>
            <w:tcW w:w="2623" w:type="dxa"/>
          </w:tcPr>
          <w:p>
            <w:pPr>
              <w:pStyle w:val="TableParagraph"/>
              <w:spacing w:line="265" w:lineRule="exact" w:before="41"/>
              <w:ind w:left="27"/>
              <w:rPr>
                <w:sz w:val="18"/>
              </w:rPr>
            </w:pPr>
            <w:r>
              <w:rPr>
                <w:color w:val="231F20"/>
                <w:sz w:val="18"/>
              </w:rPr>
              <w:t>生活、办公用房</w:t>
            </w:r>
          </w:p>
          <w:p>
            <w:pPr>
              <w:pStyle w:val="TableParagraph"/>
              <w:spacing w:line="265" w:lineRule="exact"/>
              <w:ind w:left="27"/>
              <w:rPr>
                <w:sz w:val="18"/>
              </w:rPr>
            </w:pPr>
            <w:r>
              <w:rPr>
                <w:color w:val="231F20"/>
                <w:sz w:val="18"/>
              </w:rPr>
              <w:t>……</w:t>
            </w:r>
          </w:p>
        </w:tc>
        <w:tc>
          <w:tcPr>
            <w:tcW w:w="664" w:type="dxa"/>
          </w:tcPr>
          <w:p>
            <w:pPr>
              <w:pStyle w:val="TableParagraph"/>
              <w:rPr>
                <w:rFonts w:ascii="Times New Roman"/>
                <w:sz w:val="20"/>
              </w:rPr>
            </w:pPr>
          </w:p>
        </w:tc>
        <w:tc>
          <w:tcPr>
            <w:tcW w:w="664"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664" w:type="dxa"/>
          </w:tcPr>
          <w:p>
            <w:pPr>
              <w:pStyle w:val="TableParagraph"/>
              <w:rPr>
                <w:rFonts w:ascii="Times New Roman"/>
                <w:sz w:val="20"/>
              </w:rPr>
            </w:pPr>
          </w:p>
        </w:tc>
      </w:tr>
      <w:tr>
        <w:trPr>
          <w:trHeight w:val="640" w:hRule="atLeast"/>
        </w:trPr>
        <w:tc>
          <w:tcPr>
            <w:tcW w:w="580" w:type="dxa"/>
          </w:tcPr>
          <w:p>
            <w:pPr>
              <w:pStyle w:val="TableParagraph"/>
              <w:spacing w:before="171"/>
              <w:ind w:left="8"/>
              <w:jc w:val="center"/>
              <w:rPr>
                <w:sz w:val="18"/>
              </w:rPr>
            </w:pPr>
            <w:r>
              <w:rPr>
                <w:color w:val="231F20"/>
                <w:sz w:val="18"/>
              </w:rPr>
              <w:t>2</w:t>
            </w:r>
          </w:p>
        </w:tc>
        <w:tc>
          <w:tcPr>
            <w:tcW w:w="2623" w:type="dxa"/>
          </w:tcPr>
          <w:p>
            <w:pPr>
              <w:pStyle w:val="TableParagraph"/>
              <w:spacing w:line="265" w:lineRule="exact" w:before="41"/>
              <w:ind w:left="27"/>
              <w:rPr>
                <w:sz w:val="18"/>
              </w:rPr>
            </w:pPr>
            <w:r>
              <w:rPr>
                <w:color w:val="231F20"/>
                <w:sz w:val="18"/>
              </w:rPr>
              <w:t>办公设施、设备</w:t>
            </w:r>
          </w:p>
          <w:p>
            <w:pPr>
              <w:pStyle w:val="TableParagraph"/>
              <w:spacing w:line="265" w:lineRule="exact"/>
              <w:ind w:left="27"/>
              <w:rPr>
                <w:sz w:val="18"/>
              </w:rPr>
            </w:pPr>
            <w:r>
              <w:rPr>
                <w:color w:val="231F20"/>
                <w:sz w:val="18"/>
              </w:rPr>
              <w:t>……</w:t>
            </w:r>
          </w:p>
        </w:tc>
        <w:tc>
          <w:tcPr>
            <w:tcW w:w="664" w:type="dxa"/>
          </w:tcPr>
          <w:p>
            <w:pPr>
              <w:pStyle w:val="TableParagraph"/>
              <w:rPr>
                <w:rFonts w:ascii="Times New Roman"/>
                <w:sz w:val="20"/>
              </w:rPr>
            </w:pPr>
          </w:p>
        </w:tc>
        <w:tc>
          <w:tcPr>
            <w:tcW w:w="664"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664" w:type="dxa"/>
          </w:tcPr>
          <w:p>
            <w:pPr>
              <w:pStyle w:val="TableParagraph"/>
              <w:rPr>
                <w:rFonts w:ascii="Times New Roman"/>
                <w:sz w:val="20"/>
              </w:rPr>
            </w:pPr>
          </w:p>
        </w:tc>
      </w:tr>
      <w:tr>
        <w:trPr>
          <w:trHeight w:val="640" w:hRule="atLeast"/>
        </w:trPr>
        <w:tc>
          <w:tcPr>
            <w:tcW w:w="580" w:type="dxa"/>
          </w:tcPr>
          <w:p>
            <w:pPr>
              <w:pStyle w:val="TableParagraph"/>
              <w:spacing w:before="171"/>
              <w:ind w:left="8"/>
              <w:jc w:val="center"/>
              <w:rPr>
                <w:sz w:val="18"/>
              </w:rPr>
            </w:pPr>
            <w:r>
              <w:rPr>
                <w:color w:val="231F20"/>
                <w:sz w:val="18"/>
              </w:rPr>
              <w:t>3</w:t>
            </w:r>
          </w:p>
        </w:tc>
        <w:tc>
          <w:tcPr>
            <w:tcW w:w="2623" w:type="dxa"/>
          </w:tcPr>
          <w:p>
            <w:pPr>
              <w:pStyle w:val="TableParagraph"/>
              <w:spacing w:line="265" w:lineRule="exact" w:before="41"/>
              <w:ind w:left="27"/>
              <w:rPr>
                <w:sz w:val="18"/>
              </w:rPr>
            </w:pPr>
            <w:r>
              <w:rPr>
                <w:color w:val="231F20"/>
                <w:sz w:val="18"/>
              </w:rPr>
              <w:t>检验、测试设备</w:t>
            </w:r>
          </w:p>
          <w:p>
            <w:pPr>
              <w:pStyle w:val="TableParagraph"/>
              <w:spacing w:line="265" w:lineRule="exact"/>
              <w:ind w:left="27"/>
              <w:rPr>
                <w:sz w:val="18"/>
              </w:rPr>
            </w:pPr>
            <w:r>
              <w:rPr>
                <w:color w:val="231F20"/>
                <w:sz w:val="18"/>
              </w:rPr>
              <w:t>……</w:t>
            </w:r>
          </w:p>
        </w:tc>
        <w:tc>
          <w:tcPr>
            <w:tcW w:w="664" w:type="dxa"/>
          </w:tcPr>
          <w:p>
            <w:pPr>
              <w:pStyle w:val="TableParagraph"/>
              <w:rPr>
                <w:rFonts w:ascii="Times New Roman"/>
                <w:sz w:val="20"/>
              </w:rPr>
            </w:pPr>
          </w:p>
        </w:tc>
        <w:tc>
          <w:tcPr>
            <w:tcW w:w="664"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664" w:type="dxa"/>
          </w:tcPr>
          <w:p>
            <w:pPr>
              <w:pStyle w:val="TableParagraph"/>
              <w:rPr>
                <w:rFonts w:ascii="Times New Roman"/>
                <w:sz w:val="20"/>
              </w:rPr>
            </w:pPr>
          </w:p>
        </w:tc>
      </w:tr>
      <w:tr>
        <w:trPr>
          <w:trHeight w:val="640" w:hRule="atLeast"/>
        </w:trPr>
        <w:tc>
          <w:tcPr>
            <w:tcW w:w="580" w:type="dxa"/>
          </w:tcPr>
          <w:p>
            <w:pPr>
              <w:pStyle w:val="TableParagraph"/>
              <w:spacing w:before="171"/>
              <w:ind w:left="8"/>
              <w:jc w:val="center"/>
              <w:rPr>
                <w:sz w:val="18"/>
              </w:rPr>
            </w:pPr>
            <w:r>
              <w:rPr>
                <w:color w:val="231F20"/>
                <w:sz w:val="18"/>
              </w:rPr>
              <w:t>4</w:t>
            </w:r>
          </w:p>
        </w:tc>
        <w:tc>
          <w:tcPr>
            <w:tcW w:w="2623" w:type="dxa"/>
          </w:tcPr>
          <w:p>
            <w:pPr>
              <w:pStyle w:val="TableParagraph"/>
              <w:spacing w:line="265" w:lineRule="exact" w:before="41"/>
              <w:ind w:left="27"/>
              <w:rPr>
                <w:sz w:val="18"/>
              </w:rPr>
            </w:pPr>
            <w:r>
              <w:rPr>
                <w:color w:val="231F20"/>
                <w:sz w:val="18"/>
              </w:rPr>
              <w:t>交通工具</w:t>
            </w:r>
          </w:p>
          <w:p>
            <w:pPr>
              <w:pStyle w:val="TableParagraph"/>
              <w:spacing w:line="265" w:lineRule="exact"/>
              <w:ind w:left="27"/>
              <w:rPr>
                <w:sz w:val="18"/>
              </w:rPr>
            </w:pPr>
            <w:r>
              <w:rPr>
                <w:color w:val="231F20"/>
                <w:sz w:val="18"/>
              </w:rPr>
              <w:t>……</w:t>
            </w:r>
          </w:p>
        </w:tc>
        <w:tc>
          <w:tcPr>
            <w:tcW w:w="664" w:type="dxa"/>
          </w:tcPr>
          <w:p>
            <w:pPr>
              <w:pStyle w:val="TableParagraph"/>
              <w:rPr>
                <w:rFonts w:ascii="Times New Roman"/>
                <w:sz w:val="20"/>
              </w:rPr>
            </w:pPr>
          </w:p>
        </w:tc>
        <w:tc>
          <w:tcPr>
            <w:tcW w:w="664"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664" w:type="dxa"/>
          </w:tcPr>
          <w:p>
            <w:pPr>
              <w:pStyle w:val="TableParagraph"/>
              <w:rPr>
                <w:rFonts w:ascii="Times New Roman"/>
                <w:sz w:val="20"/>
              </w:rPr>
            </w:pPr>
          </w:p>
        </w:tc>
      </w:tr>
      <w:tr>
        <w:trPr>
          <w:trHeight w:val="360" w:hRule="atLeast"/>
        </w:trPr>
        <w:tc>
          <w:tcPr>
            <w:tcW w:w="580" w:type="dxa"/>
          </w:tcPr>
          <w:p>
            <w:pPr>
              <w:pStyle w:val="TableParagraph"/>
              <w:spacing w:before="31"/>
              <w:ind w:left="8"/>
              <w:jc w:val="center"/>
              <w:rPr>
                <w:sz w:val="18"/>
              </w:rPr>
            </w:pPr>
            <w:r>
              <w:rPr>
                <w:color w:val="231F20"/>
                <w:sz w:val="18"/>
              </w:rPr>
              <w:t>5</w:t>
            </w:r>
          </w:p>
        </w:tc>
        <w:tc>
          <w:tcPr>
            <w:tcW w:w="2623" w:type="dxa"/>
          </w:tcPr>
          <w:p>
            <w:pPr>
              <w:pStyle w:val="TableParagraph"/>
              <w:spacing w:before="31"/>
              <w:ind w:left="27"/>
              <w:rPr>
                <w:sz w:val="18"/>
              </w:rPr>
            </w:pPr>
            <w:r>
              <w:rPr>
                <w:color w:val="231F20"/>
                <w:sz w:val="18"/>
              </w:rPr>
              <w:t>通讯设施</w:t>
            </w:r>
          </w:p>
        </w:tc>
        <w:tc>
          <w:tcPr>
            <w:tcW w:w="664" w:type="dxa"/>
          </w:tcPr>
          <w:p>
            <w:pPr>
              <w:pStyle w:val="TableParagraph"/>
              <w:rPr>
                <w:rFonts w:ascii="Times New Roman"/>
                <w:sz w:val="20"/>
              </w:rPr>
            </w:pPr>
          </w:p>
        </w:tc>
        <w:tc>
          <w:tcPr>
            <w:tcW w:w="664"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664" w:type="dxa"/>
          </w:tcPr>
          <w:p>
            <w:pPr>
              <w:pStyle w:val="TableParagraph"/>
              <w:rPr>
                <w:rFonts w:ascii="Times New Roman"/>
                <w:sz w:val="20"/>
              </w:rPr>
            </w:pPr>
          </w:p>
        </w:tc>
      </w:tr>
      <w:tr>
        <w:trPr>
          <w:trHeight w:val="360" w:hRule="atLeast"/>
        </w:trPr>
        <w:tc>
          <w:tcPr>
            <w:tcW w:w="580" w:type="dxa"/>
          </w:tcPr>
          <w:p>
            <w:pPr>
              <w:pStyle w:val="TableParagraph"/>
              <w:spacing w:before="31"/>
              <w:ind w:left="8"/>
              <w:jc w:val="center"/>
              <w:rPr>
                <w:sz w:val="18"/>
              </w:rPr>
            </w:pPr>
            <w:r>
              <w:rPr>
                <w:color w:val="231F20"/>
                <w:sz w:val="18"/>
              </w:rPr>
              <w:t>6</w:t>
            </w:r>
          </w:p>
        </w:tc>
        <w:tc>
          <w:tcPr>
            <w:tcW w:w="2623" w:type="dxa"/>
          </w:tcPr>
          <w:p>
            <w:pPr>
              <w:pStyle w:val="TableParagraph"/>
              <w:spacing w:before="31"/>
              <w:ind w:left="27"/>
              <w:rPr>
                <w:sz w:val="18"/>
              </w:rPr>
            </w:pPr>
            <w:r>
              <w:rPr>
                <w:color w:val="231F20"/>
                <w:sz w:val="18"/>
              </w:rPr>
              <w:t>其他（水、电等）</w:t>
            </w:r>
          </w:p>
        </w:tc>
        <w:tc>
          <w:tcPr>
            <w:tcW w:w="664" w:type="dxa"/>
          </w:tcPr>
          <w:p>
            <w:pPr>
              <w:pStyle w:val="TableParagraph"/>
              <w:rPr>
                <w:rFonts w:ascii="Times New Roman"/>
                <w:sz w:val="20"/>
              </w:rPr>
            </w:pPr>
          </w:p>
        </w:tc>
        <w:tc>
          <w:tcPr>
            <w:tcW w:w="664"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1288" w:type="dxa"/>
          </w:tcPr>
          <w:p>
            <w:pPr>
              <w:pStyle w:val="TableParagraph"/>
              <w:rPr>
                <w:rFonts w:ascii="Times New Roman"/>
                <w:sz w:val="20"/>
              </w:rPr>
            </w:pPr>
          </w:p>
        </w:tc>
        <w:tc>
          <w:tcPr>
            <w:tcW w:w="664" w:type="dxa"/>
          </w:tcPr>
          <w:p>
            <w:pPr>
              <w:pStyle w:val="TableParagraph"/>
              <w:rPr>
                <w:rFonts w:ascii="Times New Roman"/>
                <w:sz w:val="20"/>
              </w:rPr>
            </w:pPr>
          </w:p>
        </w:tc>
      </w:tr>
    </w:tbl>
    <w:p>
      <w:pPr>
        <w:pStyle w:val="BodyText"/>
        <w:spacing w:before="1"/>
        <w:ind w:left="0"/>
        <w:rPr>
          <w:sz w:val="16"/>
        </w:rPr>
      </w:pPr>
    </w:p>
    <w:p>
      <w:pPr>
        <w:pStyle w:val="Heading2"/>
        <w:spacing w:before="0"/>
      </w:pPr>
      <w:r>
        <w:rPr>
          <w:color w:val="231F20"/>
        </w:rPr>
        <w:t>监理人的义务</w:t>
      </w:r>
    </w:p>
    <w:p>
      <w:pPr>
        <w:pStyle w:val="BodyText"/>
        <w:tabs>
          <w:tab w:pos="1657" w:val="left" w:leader="none"/>
        </w:tabs>
        <w:spacing w:before="229"/>
      </w:pPr>
      <w:r>
        <w:rPr>
          <w:rFonts w:ascii="方正黑体_GBK" w:eastAsia="方正黑体_GBK" w:hint="eastAsia"/>
          <w:color w:val="231F20"/>
        </w:rPr>
        <w:t>第二十条</w:t>
        <w:tab/>
      </w:r>
      <w:r>
        <w:rPr>
          <w:color w:val="231F20"/>
        </w:rPr>
        <w:t>监理服务内容</w:t>
      </w:r>
      <w:r>
        <w:rPr>
          <w:color w:val="231F20"/>
          <w:spacing w:val="-165"/>
        </w:rPr>
        <w:t>：</w:t>
      </w:r>
      <w:r>
        <w:rPr>
          <w:color w:val="231F20"/>
        </w:rPr>
        <w:t>（</w:t>
      </w:r>
      <w:r>
        <w:rPr>
          <w:color w:val="231F20"/>
          <w:u w:val="single" w:color="231F20"/>
        </w:rPr>
        <w:t>参照附件，由双方协商确定</w:t>
      </w:r>
      <w:r>
        <w:rPr>
          <w:color w:val="231F20"/>
          <w:spacing w:val="-83"/>
          <w:u w:val="single" w:color="231F20"/>
        </w:rPr>
        <w:t>）</w:t>
      </w:r>
      <w:r>
        <w:rPr>
          <w:color w:val="231F20"/>
          <w:u w:val="single" w:color="231F20"/>
        </w:rPr>
        <w:t>。</w:t>
      </w:r>
    </w:p>
    <w:p>
      <w:pPr>
        <w:pStyle w:val="BodyText"/>
        <w:tabs>
          <w:tab w:pos="1877" w:val="left" w:leader="none"/>
          <w:tab w:pos="5451" w:val="left" w:leader="none"/>
        </w:tabs>
        <w:spacing w:before="83"/>
      </w:pPr>
      <w:r>
        <w:rPr>
          <w:rFonts w:ascii="方正黑体_GBK" w:eastAsia="方正黑体_GBK" w:hint="eastAsia"/>
          <w:color w:val="231F20"/>
        </w:rPr>
        <w:t>第二十一条</w:t>
        <w:tab/>
      </w:r>
      <w:r>
        <w:rPr>
          <w:color w:val="231F20"/>
        </w:rPr>
        <w:t>监理人应当在本合同生效</w:t>
      </w:r>
      <w:r>
        <w:rPr>
          <w:color w:val="231F20"/>
          <w:spacing w:val="52"/>
        </w:rPr>
        <w:t>后</w:t>
      </w:r>
      <w:r>
        <w:rPr>
          <w:color w:val="231F20"/>
          <w:spacing w:val="52"/>
          <w:u w:val="single" w:color="231F20"/>
        </w:rPr>
        <w:t> </w:t>
        <w:tab/>
      </w:r>
      <w:r>
        <w:rPr>
          <w:color w:val="231F20"/>
        </w:rPr>
        <w:t>天内组建监理机构，并进驻现场。</w:t>
      </w:r>
    </w:p>
    <w:p>
      <w:pPr>
        <w:pStyle w:val="BodyText"/>
        <w:tabs>
          <w:tab w:pos="1877" w:val="left" w:leader="none"/>
          <w:tab w:pos="4901" w:val="left" w:leader="none"/>
          <w:tab w:pos="6662" w:val="left" w:leader="none"/>
        </w:tabs>
        <w:spacing w:line="304" w:lineRule="auto" w:before="83"/>
        <w:ind w:right="2421"/>
      </w:pPr>
      <w:r>
        <w:rPr>
          <w:rFonts w:ascii="方正黑体_GBK" w:eastAsia="方正黑体_GBK" w:hint="eastAsia"/>
          <w:color w:val="231F20"/>
        </w:rPr>
        <w:t>第二十七条</w:t>
        <w:tab/>
      </w:r>
      <w:r>
        <w:rPr>
          <w:color w:val="231F20"/>
        </w:rPr>
        <w:t>需旁站监理的工程重要部位是</w:t>
      </w:r>
      <w:r>
        <w:rPr>
          <w:color w:val="231F20"/>
          <w:u w:val="single" w:color="231F20"/>
        </w:rPr>
        <w:t>：</w:t>
        <w:tab/>
      </w:r>
      <w:r>
        <w:rPr>
          <w:color w:val="231F20"/>
        </w:rPr>
        <w:t>。需旁站监理的关键工序是</w:t>
      </w:r>
      <w:r>
        <w:rPr>
          <w:color w:val="231F20"/>
          <w:u w:val="single" w:color="231F20"/>
        </w:rPr>
        <w:t>：</w:t>
        <w:tab/>
      </w:r>
      <w:r>
        <w:rPr>
          <w:color w:val="231F20"/>
        </w:rPr>
        <w:t>。</w:t>
      </w:r>
    </w:p>
    <w:p>
      <w:pPr>
        <w:pStyle w:val="BodyText"/>
        <w:tabs>
          <w:tab w:pos="1657" w:val="left" w:leader="none"/>
          <w:tab w:pos="7322" w:val="left" w:leader="none"/>
        </w:tabs>
        <w:spacing w:before="14"/>
      </w:pPr>
      <w:r>
        <w:rPr>
          <w:rFonts w:ascii="方正黑体_GBK" w:eastAsia="方正黑体_GBK" w:hint="eastAsia"/>
          <w:color w:val="231F20"/>
        </w:rPr>
        <w:t>第三十条</w:t>
        <w:tab/>
      </w:r>
      <w:r>
        <w:rPr>
          <w:color w:val="231F20"/>
        </w:rPr>
        <w:t>委托人委托监理人主持的分部工程验收</w:t>
      </w:r>
      <w:r>
        <w:rPr>
          <w:color w:val="231F20"/>
          <w:u w:val="single" w:color="231F20"/>
        </w:rPr>
        <w:t>：</w:t>
        <w:tab/>
      </w:r>
      <w:r>
        <w:rPr>
          <w:color w:val="231F20"/>
        </w:rPr>
        <w:t>。</w:t>
      </w:r>
    </w:p>
    <w:p>
      <w:pPr>
        <w:pStyle w:val="BodyText"/>
        <w:tabs>
          <w:tab w:pos="1910" w:val="left" w:leader="none"/>
          <w:tab w:pos="4442" w:val="left" w:leader="none"/>
        </w:tabs>
        <w:spacing w:line="304" w:lineRule="auto" w:before="82"/>
        <w:ind w:left="117" w:right="109" w:firstLine="440"/>
      </w:pPr>
      <w:r>
        <w:rPr>
          <w:rFonts w:ascii="方正黑体_GBK" w:eastAsia="方正黑体_GBK" w:hint="eastAsia"/>
          <w:color w:val="231F20"/>
          <w:spacing w:val="5"/>
        </w:rPr>
        <w:t>第三十一</w:t>
      </w:r>
      <w:r>
        <w:rPr>
          <w:rFonts w:ascii="方正黑体_GBK" w:eastAsia="方正黑体_GBK" w:hint="eastAsia"/>
          <w:color w:val="231F20"/>
        </w:rPr>
        <w:t>条</w:t>
        <w:tab/>
      </w:r>
      <w:r>
        <w:rPr>
          <w:color w:val="231F20"/>
          <w:spacing w:val="5"/>
        </w:rPr>
        <w:t>在本合同终止</w:t>
      </w:r>
      <w:r>
        <w:rPr>
          <w:color w:val="231F20"/>
        </w:rPr>
        <w:t>后</w:t>
      </w:r>
      <w:r>
        <w:rPr>
          <w:color w:val="231F20"/>
          <w:u w:val="single" w:color="231F20"/>
        </w:rPr>
        <w:t> </w:t>
        <w:tab/>
      </w:r>
      <w:r>
        <w:rPr>
          <w:color w:val="231F20"/>
          <w:spacing w:val="5"/>
        </w:rPr>
        <w:t>天</w:t>
      </w:r>
      <w:r>
        <w:rPr>
          <w:color w:val="231F20"/>
        </w:rPr>
        <w:t>内</w:t>
      </w:r>
      <w:r>
        <w:rPr>
          <w:color w:val="231F20"/>
          <w:spacing w:val="5"/>
        </w:rPr>
        <w:t>，未征得委托人同</w:t>
      </w:r>
      <w:r>
        <w:rPr>
          <w:color w:val="231F20"/>
        </w:rPr>
        <w:t>意</w:t>
      </w:r>
      <w:r>
        <w:rPr>
          <w:color w:val="231F20"/>
          <w:spacing w:val="5"/>
        </w:rPr>
        <w:t>，不得泄露与本合同业 </w:t>
      </w:r>
      <w:r>
        <w:rPr>
          <w:color w:val="231F20"/>
        </w:rPr>
        <w:t>务有关的技术、商务等秘密。</w:t>
      </w:r>
    </w:p>
    <w:p>
      <w:pPr>
        <w:pStyle w:val="Heading2"/>
      </w:pPr>
      <w:r>
        <w:rPr>
          <w:color w:val="231F20"/>
        </w:rPr>
        <w:t>监理服务酬金</w:t>
      </w:r>
    </w:p>
    <w:p>
      <w:pPr>
        <w:pStyle w:val="BodyText"/>
        <w:tabs>
          <w:tab w:pos="1877" w:val="left" w:leader="none"/>
        </w:tabs>
        <w:spacing w:before="229"/>
      </w:pPr>
      <w:r>
        <w:rPr>
          <w:rFonts w:ascii="方正黑体_GBK" w:eastAsia="方正黑体_GBK" w:hint="eastAsia"/>
          <w:color w:val="231F20"/>
        </w:rPr>
        <w:t>第三十二条</w:t>
        <w:tab/>
      </w:r>
      <w:r>
        <w:rPr>
          <w:color w:val="231F20"/>
        </w:rPr>
        <w:t>监理正常服务酬金支付方法：</w:t>
      </w:r>
    </w:p>
    <w:p>
      <w:pPr>
        <w:pStyle w:val="BodyText"/>
        <w:tabs>
          <w:tab w:pos="4902" w:val="left" w:leader="none"/>
        </w:tabs>
        <w:spacing w:line="304" w:lineRule="auto" w:before="89"/>
        <w:ind w:right="4181"/>
      </w:pPr>
      <w:r>
        <w:rPr>
          <w:color w:val="231F20"/>
        </w:rPr>
        <w:t>一、支付时间为</w:t>
      </w:r>
      <w:r>
        <w:rPr>
          <w:color w:val="231F20"/>
          <w:u w:val="single" w:color="231F20"/>
        </w:rPr>
        <w:t>：</w:t>
        <w:tab/>
      </w:r>
      <w:r>
        <w:rPr>
          <w:color w:val="231F20"/>
        </w:rPr>
        <w:t>。二、支付方式为</w:t>
      </w:r>
      <w:r>
        <w:rPr>
          <w:color w:val="231F20"/>
          <w:u w:val="single" w:color="231F20"/>
        </w:rPr>
        <w:t>：</w:t>
        <w:tab/>
      </w:r>
      <w:r>
        <w:rPr>
          <w:color w:val="231F20"/>
        </w:rPr>
        <w:t>。</w:t>
      </w:r>
    </w:p>
    <w:p>
      <w:pPr>
        <w:pStyle w:val="BodyText"/>
        <w:tabs>
          <w:tab w:pos="1877" w:val="left" w:leader="none"/>
          <w:tab w:pos="4789" w:val="left" w:leader="none"/>
        </w:tabs>
        <w:spacing w:line="304" w:lineRule="auto" w:before="15"/>
        <w:ind w:right="3686"/>
      </w:pPr>
      <w:r>
        <w:rPr>
          <w:rFonts w:ascii="方正黑体_GBK" w:eastAsia="方正黑体_GBK" w:hint="eastAsia"/>
          <w:color w:val="231F20"/>
        </w:rPr>
        <w:t>第三十三条</w:t>
        <w:tab/>
      </w:r>
      <w:r>
        <w:rPr>
          <w:color w:val="231F20"/>
        </w:rPr>
        <w:t>监理附加服务酬金的计取与支付方法：一、计取方法为</w:t>
      </w:r>
      <w:r>
        <w:rPr>
          <w:color w:val="231F20"/>
          <w:u w:val="single" w:color="231F20"/>
        </w:rPr>
        <w:t>：</w:t>
        <w:tab/>
      </w:r>
      <w:r>
        <w:rPr>
          <w:color w:val="231F20"/>
        </w:rPr>
        <w:t>。</w:t>
      </w:r>
    </w:p>
    <w:p>
      <w:pPr>
        <w:pStyle w:val="BodyText"/>
        <w:tabs>
          <w:tab w:pos="4901" w:val="left" w:leader="none"/>
        </w:tabs>
        <w:spacing w:line="304" w:lineRule="auto" w:before="21"/>
        <w:ind w:right="4181"/>
      </w:pPr>
      <w:r>
        <w:rPr>
          <w:color w:val="231F20"/>
        </w:rPr>
        <w:t>二、支付方式为</w:t>
      </w:r>
      <w:r>
        <w:rPr>
          <w:color w:val="231F20"/>
          <w:u w:val="single" w:color="231F20"/>
        </w:rPr>
        <w:t>：</w:t>
        <w:tab/>
      </w:r>
      <w:r>
        <w:rPr>
          <w:color w:val="231F20"/>
        </w:rPr>
        <w:t>。三、支付时间为</w:t>
      </w:r>
      <w:r>
        <w:rPr>
          <w:color w:val="231F20"/>
          <w:u w:val="single" w:color="231F20"/>
        </w:rPr>
        <w:t>：</w:t>
        <w:tab/>
      </w:r>
      <w:r>
        <w:rPr>
          <w:color w:val="231F20"/>
        </w:rPr>
        <w:t>。</w:t>
      </w:r>
    </w:p>
    <w:p>
      <w:pPr>
        <w:pStyle w:val="Heading2"/>
      </w:pPr>
      <w:r>
        <w:rPr>
          <w:color w:val="231F20"/>
        </w:rPr>
        <w:t>违约责任</w:t>
      </w:r>
    </w:p>
    <w:p>
      <w:pPr>
        <w:pStyle w:val="BodyText"/>
        <w:tabs>
          <w:tab w:pos="1657" w:val="left" w:leader="none"/>
        </w:tabs>
        <w:spacing w:before="229"/>
      </w:pPr>
      <w:r>
        <w:rPr>
          <w:rFonts w:ascii="方正黑体_GBK" w:eastAsia="方正黑体_GBK" w:hint="eastAsia"/>
          <w:color w:val="231F20"/>
        </w:rPr>
        <w:t>第四十条</w:t>
        <w:tab/>
      </w:r>
      <w:r>
        <w:rPr>
          <w:color w:val="231F20"/>
        </w:rPr>
        <w:t>委托人违约，应支付给监理人违约金。</w:t>
      </w:r>
    </w:p>
    <w:p>
      <w:pPr>
        <w:spacing w:after="0"/>
        <w:sectPr>
          <w:pgSz w:w="11910" w:h="16840"/>
          <w:pgMar w:header="0" w:footer="832" w:top="1580" w:bottom="1020" w:left="1300" w:right="1300"/>
        </w:sectPr>
      </w:pPr>
    </w:p>
    <w:p>
      <w:pPr>
        <w:pStyle w:val="BodyText"/>
        <w:tabs>
          <w:tab w:pos="3142" w:val="left" w:leader="none"/>
        </w:tabs>
        <w:spacing w:before="24"/>
      </w:pPr>
      <w:r>
        <w:rPr>
          <w:color w:val="231F20"/>
        </w:rPr>
        <w:t>违约金</w:t>
      </w:r>
      <w:r>
        <w:rPr>
          <w:color w:val="231F20"/>
          <w:u w:val="single" w:color="231F20"/>
        </w:rPr>
        <w:t>：</w:t>
        <w:tab/>
      </w:r>
      <w:r>
        <w:rPr>
          <w:color w:val="231F20"/>
        </w:rPr>
        <w:t>。</w:t>
      </w:r>
    </w:p>
    <w:p>
      <w:pPr>
        <w:pStyle w:val="BodyText"/>
        <w:tabs>
          <w:tab w:pos="1914" w:val="left" w:leader="none"/>
          <w:tab w:pos="4075" w:val="left" w:leader="none"/>
        </w:tabs>
        <w:spacing w:line="304" w:lineRule="auto" w:before="83"/>
        <w:ind w:left="117" w:right="117" w:firstLine="440"/>
      </w:pPr>
      <w:r>
        <w:rPr>
          <w:rFonts w:ascii="方正黑体_GBK" w:eastAsia="方正黑体_GBK" w:hint="eastAsia"/>
          <w:color w:val="231F20"/>
          <w:spacing w:val="5"/>
        </w:rPr>
        <w:t>第四十一</w:t>
      </w:r>
      <w:r>
        <w:rPr>
          <w:rFonts w:ascii="方正黑体_GBK" w:eastAsia="方正黑体_GBK" w:hint="eastAsia"/>
          <w:color w:val="231F20"/>
        </w:rPr>
        <w:t>条</w:t>
        <w:tab/>
      </w:r>
      <w:r>
        <w:rPr>
          <w:color w:val="231F20"/>
          <w:spacing w:val="5"/>
        </w:rPr>
        <w:t>因委托人延期支付监理服务酬金而向监理人支付逾期付款违约金的计算办 </w:t>
      </w:r>
      <w:r>
        <w:rPr>
          <w:color w:val="231F20"/>
        </w:rPr>
        <w:t>法：</w:t>
        <w:tab/>
        <w:tab/>
        <w:t>。</w:t>
      </w:r>
    </w:p>
    <w:p>
      <w:pPr>
        <w:pStyle w:val="BodyText"/>
        <w:tabs>
          <w:tab w:pos="1877" w:val="left" w:leader="none"/>
          <w:tab w:pos="3141" w:val="left" w:leader="none"/>
        </w:tabs>
        <w:spacing w:line="304" w:lineRule="auto" w:before="15"/>
        <w:ind w:right="3686"/>
      </w:pPr>
      <w:r>
        <w:rPr>
          <w:rFonts w:ascii="方正黑体_GBK" w:eastAsia="方正黑体_GBK" w:hint="eastAsia"/>
          <w:color w:val="231F20"/>
        </w:rPr>
        <w:t>第四十二条</w:t>
        <w:tab/>
      </w:r>
      <w:r>
        <w:rPr>
          <w:color w:val="231F20"/>
        </w:rPr>
        <w:t>监理人违约，应支付给委托人违约金。违约金</w:t>
      </w:r>
      <w:r>
        <w:rPr>
          <w:color w:val="231F20"/>
          <w:u w:val="single" w:color="231F20"/>
        </w:rPr>
        <w:t>：</w:t>
        <w:tab/>
        <w:tab/>
      </w:r>
      <w:r>
        <w:rPr>
          <w:color w:val="231F20"/>
        </w:rPr>
        <w:t>。</w:t>
      </w:r>
    </w:p>
    <w:p>
      <w:pPr>
        <w:pStyle w:val="Heading2"/>
      </w:pPr>
      <w:r>
        <w:rPr>
          <w:color w:val="231F20"/>
        </w:rPr>
        <w:t>争议的解决</w:t>
      </w:r>
    </w:p>
    <w:p>
      <w:pPr>
        <w:pStyle w:val="BodyText"/>
        <w:tabs>
          <w:tab w:pos="1877" w:val="left" w:leader="none"/>
        </w:tabs>
        <w:spacing w:before="229"/>
      </w:pPr>
      <w:r>
        <w:rPr>
          <w:rFonts w:ascii="方正黑体_GBK" w:eastAsia="方正黑体_GBK" w:hint="eastAsia"/>
          <w:color w:val="231F20"/>
        </w:rPr>
        <w:t>第四十三条</w:t>
        <w:tab/>
      </w:r>
      <w:r>
        <w:rPr>
          <w:color w:val="231F20"/>
        </w:rPr>
        <w:t>争议调解、仲裁机构：</w:t>
      </w:r>
    </w:p>
    <w:p>
      <w:pPr>
        <w:pStyle w:val="BodyText"/>
        <w:tabs>
          <w:tab w:pos="5342" w:val="left" w:leader="none"/>
        </w:tabs>
        <w:spacing w:line="304" w:lineRule="auto" w:before="89"/>
        <w:ind w:right="3687"/>
      </w:pPr>
      <w:r>
        <w:rPr>
          <w:color w:val="231F20"/>
        </w:rPr>
        <w:t>一、争议调解机构为</w:t>
      </w:r>
      <w:r>
        <w:rPr>
          <w:color w:val="231F20"/>
          <w:u w:val="single" w:color="231F20"/>
        </w:rPr>
        <w:t>：</w:t>
        <w:tab/>
      </w:r>
      <w:r>
        <w:rPr>
          <w:color w:val="231F20"/>
        </w:rPr>
        <w:t>。二、仲裁机构为</w:t>
      </w:r>
      <w:r>
        <w:rPr>
          <w:color w:val="231F20"/>
          <w:u w:val="single" w:color="231F20"/>
        </w:rPr>
        <w:t>：</w:t>
        <w:tab/>
      </w:r>
      <w:r>
        <w:rPr>
          <w:color w:val="231F20"/>
        </w:rPr>
        <w:t>。</w:t>
      </w:r>
    </w:p>
    <w:p>
      <w:pPr>
        <w:pStyle w:val="Heading2"/>
      </w:pPr>
      <w:r>
        <w:rPr>
          <w:color w:val="231F20"/>
        </w:rPr>
        <w:t>其他</w:t>
      </w:r>
    </w:p>
    <w:p>
      <w:pPr>
        <w:pStyle w:val="BodyText"/>
        <w:tabs>
          <w:tab w:pos="1877" w:val="left" w:leader="none"/>
          <w:tab w:pos="8862" w:val="left" w:leader="none"/>
        </w:tabs>
        <w:spacing w:before="229"/>
      </w:pPr>
      <w:r>
        <w:rPr>
          <w:rFonts w:ascii="方正黑体_GBK" w:eastAsia="方正黑体_GBK" w:hint="eastAsia"/>
          <w:color w:val="231F20"/>
        </w:rPr>
        <w:t>第四十五条</w:t>
        <w:tab/>
      </w:r>
      <w:r>
        <w:rPr>
          <w:color w:val="231F20"/>
        </w:rPr>
        <w:t>委托人对监理人提出并落实的合理化建议的奖励办法为</w:t>
      </w:r>
      <w:r>
        <w:rPr>
          <w:color w:val="231F20"/>
          <w:u w:val="single" w:color="231F20"/>
        </w:rPr>
        <w:t>：</w:t>
        <w:tab/>
      </w:r>
      <w:r>
        <w:rPr>
          <w:color w:val="231F20"/>
        </w:rPr>
        <w:t>。</w:t>
      </w:r>
    </w:p>
    <w:p>
      <w:pPr>
        <w:spacing w:after="0"/>
        <w:sectPr>
          <w:footerReference w:type="even" r:id="rId9"/>
          <w:footerReference w:type="default" r:id="rId10"/>
          <w:pgSz w:w="11910" w:h="16840"/>
          <w:pgMar w:footer="832" w:header="0" w:top="1580" w:bottom="1020" w:left="1300" w:right="1300"/>
          <w:pgNumType w:start="12"/>
        </w:sectPr>
      </w:pPr>
    </w:p>
    <w:p>
      <w:pPr>
        <w:pStyle w:val="BodyText"/>
        <w:ind w:left="0"/>
        <w:rPr>
          <w:sz w:val="20"/>
        </w:rPr>
      </w:pPr>
    </w:p>
    <w:p>
      <w:pPr>
        <w:pStyle w:val="BodyText"/>
        <w:ind w:left="0"/>
        <w:rPr>
          <w:sz w:val="20"/>
        </w:rPr>
      </w:pPr>
    </w:p>
    <w:p>
      <w:pPr>
        <w:pStyle w:val="Heading1"/>
        <w:tabs>
          <w:tab w:pos="1399" w:val="left" w:leader="none"/>
        </w:tabs>
        <w:ind w:right="98"/>
      </w:pPr>
      <w:r>
        <w:rPr>
          <w:color w:val="231F20"/>
        </w:rPr>
        <w:t>第三部分</w:t>
        <w:tab/>
        <w:t>附件</w:t>
      </w:r>
    </w:p>
    <w:p>
      <w:pPr>
        <w:pStyle w:val="BodyText"/>
        <w:spacing w:before="9"/>
        <w:ind w:left="0"/>
        <w:rPr>
          <w:rFonts w:ascii="方正黑体_GBK"/>
          <w:sz w:val="25"/>
        </w:rPr>
      </w:pPr>
    </w:p>
    <w:p>
      <w:pPr>
        <w:pStyle w:val="BodyText"/>
      </w:pPr>
      <w:r>
        <w:rPr>
          <w:color w:val="231F20"/>
        </w:rPr>
        <w:t>本合同监理服务内容</w:t>
      </w:r>
      <w:r>
        <w:rPr>
          <w:color w:val="231F20"/>
          <w:spacing w:val="-165"/>
        </w:rPr>
        <w:t>：</w:t>
      </w:r>
      <w:r>
        <w:rPr>
          <w:color w:val="231F20"/>
        </w:rPr>
        <w:t>（</w:t>
      </w:r>
      <w:r>
        <w:rPr>
          <w:color w:val="231F20"/>
          <w:u w:val="single" w:color="231F20"/>
        </w:rPr>
        <w:t>具体内容由双方协商确定）</w:t>
      </w:r>
    </w:p>
    <w:p>
      <w:pPr>
        <w:pStyle w:val="BodyText"/>
        <w:spacing w:before="89"/>
        <w:ind w:left="447"/>
      </w:pPr>
      <w:r>
        <w:rPr>
          <w:color w:val="231F20"/>
        </w:rPr>
        <w:t>（一）设计方面</w:t>
      </w:r>
    </w:p>
    <w:p>
      <w:pPr>
        <w:pStyle w:val="ListParagraph"/>
        <w:numPr>
          <w:ilvl w:val="0"/>
          <w:numId w:val="6"/>
        </w:numPr>
        <w:tabs>
          <w:tab w:pos="776" w:val="left" w:leader="none"/>
        </w:tabs>
        <w:spacing w:line="240" w:lineRule="auto" w:before="89" w:after="0"/>
        <w:ind w:left="775" w:right="0" w:hanging="218"/>
        <w:jc w:val="left"/>
        <w:rPr>
          <w:sz w:val="22"/>
        </w:rPr>
      </w:pPr>
      <w:r>
        <w:rPr>
          <w:color w:val="231F20"/>
          <w:sz w:val="22"/>
        </w:rPr>
        <w:t>核查并签发施工图，发现问题向委托人反映，重大问题向委托人做专题报告。</w:t>
      </w:r>
    </w:p>
    <w:p>
      <w:pPr>
        <w:pStyle w:val="ListParagraph"/>
        <w:numPr>
          <w:ilvl w:val="0"/>
          <w:numId w:val="6"/>
        </w:numPr>
        <w:tabs>
          <w:tab w:pos="776" w:val="left" w:leader="none"/>
        </w:tabs>
        <w:spacing w:line="240" w:lineRule="auto" w:before="89" w:after="0"/>
        <w:ind w:left="775" w:right="0" w:hanging="218"/>
        <w:jc w:val="left"/>
        <w:rPr>
          <w:sz w:val="22"/>
        </w:rPr>
      </w:pPr>
      <w:r>
        <w:rPr>
          <w:color w:val="231F20"/>
          <w:sz w:val="22"/>
        </w:rPr>
        <w:t>主持或与委托人联合主持设计技术交底会议，编写会议纪要。</w:t>
      </w:r>
    </w:p>
    <w:p>
      <w:pPr>
        <w:pStyle w:val="ListParagraph"/>
        <w:numPr>
          <w:ilvl w:val="0"/>
          <w:numId w:val="6"/>
        </w:numPr>
        <w:tabs>
          <w:tab w:pos="776" w:val="left" w:leader="none"/>
        </w:tabs>
        <w:spacing w:line="240" w:lineRule="auto" w:before="89" w:after="0"/>
        <w:ind w:left="775" w:right="0" w:hanging="218"/>
        <w:jc w:val="left"/>
        <w:rPr>
          <w:sz w:val="22"/>
        </w:rPr>
      </w:pPr>
      <w:r>
        <w:rPr>
          <w:color w:val="231F20"/>
          <w:sz w:val="22"/>
        </w:rPr>
        <w:t>协助委托人会同设计人对重大技术问题和优化设计进行专题讨论。</w:t>
      </w:r>
    </w:p>
    <w:p>
      <w:pPr>
        <w:pStyle w:val="ListParagraph"/>
        <w:numPr>
          <w:ilvl w:val="0"/>
          <w:numId w:val="6"/>
        </w:numPr>
        <w:tabs>
          <w:tab w:pos="776" w:val="left" w:leader="none"/>
        </w:tabs>
        <w:spacing w:line="240" w:lineRule="auto" w:before="89" w:after="0"/>
        <w:ind w:left="775" w:right="0" w:hanging="218"/>
        <w:jc w:val="left"/>
        <w:rPr>
          <w:sz w:val="22"/>
        </w:rPr>
      </w:pPr>
      <w:r>
        <w:rPr>
          <w:color w:val="231F20"/>
          <w:sz w:val="22"/>
        </w:rPr>
        <w:t>审核承包人对施工图的意见和建议，协助委托人会同设计人进行研究。</w:t>
      </w:r>
    </w:p>
    <w:p>
      <w:pPr>
        <w:pStyle w:val="ListParagraph"/>
        <w:numPr>
          <w:ilvl w:val="0"/>
          <w:numId w:val="6"/>
        </w:numPr>
        <w:tabs>
          <w:tab w:pos="776" w:val="left" w:leader="none"/>
        </w:tabs>
        <w:spacing w:line="240" w:lineRule="auto" w:before="89" w:after="0"/>
        <w:ind w:left="775" w:right="0" w:hanging="218"/>
        <w:jc w:val="left"/>
        <w:rPr>
          <w:sz w:val="22"/>
        </w:rPr>
      </w:pPr>
      <w:r>
        <w:rPr>
          <w:color w:val="231F20"/>
          <w:sz w:val="22"/>
        </w:rPr>
        <w:t>其他相关业务。</w:t>
      </w:r>
    </w:p>
    <w:p>
      <w:pPr>
        <w:pStyle w:val="BodyText"/>
        <w:spacing w:before="89"/>
        <w:ind w:left="447"/>
      </w:pPr>
      <w:r>
        <w:rPr>
          <w:color w:val="231F20"/>
        </w:rPr>
        <w:t>（二）采购方面</w:t>
      </w:r>
    </w:p>
    <w:p>
      <w:pPr>
        <w:pStyle w:val="ListParagraph"/>
        <w:numPr>
          <w:ilvl w:val="0"/>
          <w:numId w:val="7"/>
        </w:numPr>
        <w:tabs>
          <w:tab w:pos="776" w:val="left" w:leader="none"/>
        </w:tabs>
        <w:spacing w:line="240" w:lineRule="auto" w:before="89" w:after="0"/>
        <w:ind w:left="775" w:right="0" w:hanging="218"/>
        <w:jc w:val="left"/>
        <w:rPr>
          <w:sz w:val="22"/>
        </w:rPr>
      </w:pPr>
      <w:r>
        <w:rPr>
          <w:color w:val="231F20"/>
          <w:sz w:val="22"/>
        </w:rPr>
        <w:t>协助委托人进行采购招标。</w:t>
      </w:r>
    </w:p>
    <w:p>
      <w:pPr>
        <w:pStyle w:val="ListParagraph"/>
        <w:numPr>
          <w:ilvl w:val="0"/>
          <w:numId w:val="7"/>
        </w:numPr>
        <w:tabs>
          <w:tab w:pos="776" w:val="left" w:leader="none"/>
        </w:tabs>
        <w:spacing w:line="240" w:lineRule="auto" w:before="89" w:after="0"/>
        <w:ind w:left="775" w:right="0" w:hanging="218"/>
        <w:jc w:val="left"/>
        <w:rPr>
          <w:sz w:val="22"/>
        </w:rPr>
      </w:pPr>
      <w:r>
        <w:rPr>
          <w:color w:val="231F20"/>
          <w:sz w:val="22"/>
        </w:rPr>
        <w:t>协助委托人对进场的永久工程设备进行质量检验与到货验收。</w:t>
      </w:r>
    </w:p>
    <w:p>
      <w:pPr>
        <w:pStyle w:val="ListParagraph"/>
        <w:numPr>
          <w:ilvl w:val="0"/>
          <w:numId w:val="7"/>
        </w:numPr>
        <w:tabs>
          <w:tab w:pos="776" w:val="left" w:leader="none"/>
        </w:tabs>
        <w:spacing w:line="240" w:lineRule="auto" w:before="89" w:after="0"/>
        <w:ind w:left="775" w:right="0" w:hanging="218"/>
        <w:jc w:val="left"/>
        <w:rPr>
          <w:sz w:val="22"/>
        </w:rPr>
      </w:pPr>
      <w:r>
        <w:rPr>
          <w:color w:val="231F20"/>
          <w:sz w:val="22"/>
        </w:rPr>
        <w:t>其他相关业务。</w:t>
      </w:r>
    </w:p>
    <w:p>
      <w:pPr>
        <w:pStyle w:val="BodyText"/>
        <w:spacing w:before="89"/>
        <w:ind w:left="447"/>
      </w:pPr>
      <w:r>
        <w:rPr>
          <w:color w:val="231F20"/>
        </w:rPr>
        <w:t>（三）施工方面</w:t>
      </w:r>
    </w:p>
    <w:p>
      <w:pPr>
        <w:pStyle w:val="ListParagraph"/>
        <w:numPr>
          <w:ilvl w:val="0"/>
          <w:numId w:val="8"/>
        </w:numPr>
        <w:tabs>
          <w:tab w:pos="776" w:val="left" w:leader="none"/>
        </w:tabs>
        <w:spacing w:line="240" w:lineRule="auto" w:before="89" w:after="0"/>
        <w:ind w:left="117" w:right="0" w:firstLine="440"/>
        <w:jc w:val="left"/>
        <w:rPr>
          <w:sz w:val="22"/>
        </w:rPr>
      </w:pPr>
      <w:r>
        <w:rPr>
          <w:color w:val="231F20"/>
          <w:sz w:val="22"/>
        </w:rPr>
        <w:t>协助委托人进行工程施工招标和签订工程施工合同。</w:t>
      </w:r>
    </w:p>
    <w:p>
      <w:pPr>
        <w:pStyle w:val="ListParagraph"/>
        <w:numPr>
          <w:ilvl w:val="0"/>
          <w:numId w:val="8"/>
        </w:numPr>
        <w:tabs>
          <w:tab w:pos="776" w:val="left" w:leader="none"/>
        </w:tabs>
        <w:spacing w:line="240" w:lineRule="auto" w:before="89" w:after="0"/>
        <w:ind w:left="117" w:right="0" w:firstLine="440"/>
        <w:jc w:val="left"/>
        <w:rPr>
          <w:sz w:val="22"/>
        </w:rPr>
      </w:pPr>
      <w:r>
        <w:rPr>
          <w:color w:val="231F20"/>
          <w:sz w:val="22"/>
        </w:rPr>
        <w:t>全面管理工程施工合同，审查承包人选择的分包单位，并报委托人批准。</w:t>
      </w:r>
    </w:p>
    <w:p>
      <w:pPr>
        <w:pStyle w:val="ListParagraph"/>
        <w:numPr>
          <w:ilvl w:val="0"/>
          <w:numId w:val="8"/>
        </w:numPr>
        <w:tabs>
          <w:tab w:pos="777" w:val="left" w:leader="none"/>
        </w:tabs>
        <w:spacing w:line="304" w:lineRule="auto" w:before="89" w:after="0"/>
        <w:ind w:left="117" w:right="211" w:firstLine="440"/>
        <w:jc w:val="left"/>
        <w:rPr>
          <w:sz w:val="22"/>
        </w:rPr>
      </w:pPr>
      <w:r>
        <w:rPr>
          <w:color w:val="231F20"/>
          <w:spacing w:val="-2"/>
          <w:sz w:val="22"/>
        </w:rPr>
        <w:t>督促委托人按工程施工合同的约定，落实必须提供的施工条件；检查承包人的开工准备工作。</w:t>
      </w:r>
    </w:p>
    <w:p>
      <w:pPr>
        <w:pStyle w:val="ListParagraph"/>
        <w:numPr>
          <w:ilvl w:val="0"/>
          <w:numId w:val="8"/>
        </w:numPr>
        <w:tabs>
          <w:tab w:pos="776" w:val="left" w:leader="none"/>
        </w:tabs>
        <w:spacing w:line="240" w:lineRule="auto" w:before="21" w:after="0"/>
        <w:ind w:left="117" w:right="0" w:firstLine="440"/>
        <w:jc w:val="left"/>
        <w:rPr>
          <w:sz w:val="22"/>
        </w:rPr>
      </w:pPr>
      <w:r>
        <w:rPr>
          <w:color w:val="231F20"/>
          <w:sz w:val="22"/>
        </w:rPr>
        <w:t>审核按工程施工合同文件约定应由承包人提交的设计文件。</w:t>
      </w:r>
    </w:p>
    <w:p>
      <w:pPr>
        <w:pStyle w:val="ListParagraph"/>
        <w:numPr>
          <w:ilvl w:val="0"/>
          <w:numId w:val="8"/>
        </w:numPr>
        <w:tabs>
          <w:tab w:pos="776" w:val="left" w:leader="none"/>
        </w:tabs>
        <w:spacing w:line="240" w:lineRule="auto" w:before="89" w:after="0"/>
        <w:ind w:left="117" w:right="0" w:firstLine="440"/>
        <w:jc w:val="left"/>
        <w:rPr>
          <w:sz w:val="22"/>
        </w:rPr>
      </w:pPr>
      <w:r>
        <w:rPr>
          <w:color w:val="231F20"/>
          <w:spacing w:val="-7"/>
          <w:sz w:val="22"/>
        </w:rPr>
        <w:t>审查承包人提交的施工组织设计、施工进度计划、施工措施计划；审核工艺试验成果等。</w:t>
      </w:r>
    </w:p>
    <w:p>
      <w:pPr>
        <w:pStyle w:val="ListParagraph"/>
        <w:numPr>
          <w:ilvl w:val="0"/>
          <w:numId w:val="8"/>
        </w:numPr>
        <w:tabs>
          <w:tab w:pos="777" w:val="left" w:leader="none"/>
        </w:tabs>
        <w:spacing w:line="304" w:lineRule="auto" w:before="89" w:after="0"/>
        <w:ind w:left="117" w:right="214" w:firstLine="440"/>
        <w:jc w:val="both"/>
        <w:rPr>
          <w:sz w:val="22"/>
        </w:rPr>
      </w:pPr>
      <w:r>
        <w:rPr>
          <w:color w:val="231F20"/>
          <w:spacing w:val="-2"/>
          <w:sz w:val="22"/>
        </w:rPr>
        <w:t>进度控制。协助委托人编制控制性总进度计划，审批承包人编制的进度计划；检查实施情况，督促承包人采取措施，实现合同工期目标。当实施进度发生较大偏差时，要求承包人调</w:t>
      </w:r>
      <w:r>
        <w:rPr>
          <w:color w:val="231F20"/>
          <w:spacing w:val="-8"/>
          <w:sz w:val="22"/>
        </w:rPr>
        <w:t>整进度计划；向委托人提出调整控制性进度计划的建议意见。</w:t>
      </w:r>
    </w:p>
    <w:p>
      <w:pPr>
        <w:pStyle w:val="ListParagraph"/>
        <w:numPr>
          <w:ilvl w:val="0"/>
          <w:numId w:val="8"/>
        </w:numPr>
        <w:tabs>
          <w:tab w:pos="777" w:val="left" w:leader="none"/>
        </w:tabs>
        <w:spacing w:line="304" w:lineRule="auto" w:before="21" w:after="0"/>
        <w:ind w:left="117" w:right="208" w:firstLine="440"/>
        <w:jc w:val="both"/>
        <w:rPr>
          <w:sz w:val="22"/>
        </w:rPr>
      </w:pPr>
      <w:r>
        <w:rPr>
          <w:color w:val="231F20"/>
          <w:spacing w:val="-4"/>
          <w:sz w:val="22"/>
        </w:rPr>
        <w:t>施工质量控制。审查承包人的质量保证体系和措施；审查承包人的实验室条件；依据工</w:t>
      </w:r>
      <w:r>
        <w:rPr>
          <w:color w:val="231F20"/>
          <w:sz w:val="22"/>
        </w:rPr>
        <w:t>程施工合同文件、设计文件、技术标准，对施工全过程进行检查，对重要部位、关键工序进行</w:t>
      </w:r>
      <w:r>
        <w:rPr>
          <w:color w:val="231F20"/>
          <w:spacing w:val="-8"/>
          <w:sz w:val="22"/>
        </w:rPr>
        <w:t>旁站监理；按照有关规定，对承包人进场的工程设备、建筑材料、建筑构配件、中间产品进行</w:t>
      </w:r>
      <w:r>
        <w:rPr>
          <w:color w:val="231F20"/>
          <w:spacing w:val="-10"/>
          <w:sz w:val="22"/>
        </w:rPr>
        <w:t>跟踪检测和平行检测，复核承包人自评的工程质量等级；审核承包人提出的工程质量缺陷处理方案，参与调查质量事故。</w:t>
      </w:r>
    </w:p>
    <w:p>
      <w:pPr>
        <w:pStyle w:val="ListParagraph"/>
        <w:numPr>
          <w:ilvl w:val="0"/>
          <w:numId w:val="8"/>
        </w:numPr>
        <w:tabs>
          <w:tab w:pos="777" w:val="left" w:leader="none"/>
        </w:tabs>
        <w:spacing w:line="304" w:lineRule="auto" w:before="21" w:after="0"/>
        <w:ind w:left="117" w:right="105" w:firstLine="440"/>
        <w:jc w:val="left"/>
        <w:rPr>
          <w:sz w:val="22"/>
        </w:rPr>
      </w:pPr>
      <w:r>
        <w:rPr>
          <w:color w:val="231F20"/>
          <w:spacing w:val="-5"/>
          <w:sz w:val="22"/>
        </w:rPr>
        <w:t>资金控制。协助委托人编制付款计划；审查承包人提交的资金流计划；核定承包人完成</w:t>
      </w:r>
      <w:r>
        <w:rPr>
          <w:color w:val="231F20"/>
          <w:spacing w:val="-2"/>
          <w:sz w:val="22"/>
        </w:rPr>
        <w:t>的工程量，审核承包人提交的支付申请，签发付款凭证；受理索赔申请，提出处理建议意见； 处理工程变更。</w:t>
      </w:r>
    </w:p>
    <w:p>
      <w:pPr>
        <w:spacing w:after="0" w:line="304" w:lineRule="auto"/>
        <w:jc w:val="left"/>
        <w:rPr>
          <w:sz w:val="22"/>
        </w:rPr>
        <w:sectPr>
          <w:pgSz w:w="11910" w:h="16840"/>
          <w:pgMar w:header="0" w:footer="832" w:top="1580" w:bottom="1020" w:left="1300" w:right="1200"/>
        </w:sectPr>
      </w:pPr>
    </w:p>
    <w:p>
      <w:pPr>
        <w:pStyle w:val="ListParagraph"/>
        <w:numPr>
          <w:ilvl w:val="0"/>
          <w:numId w:val="8"/>
        </w:numPr>
        <w:tabs>
          <w:tab w:pos="777" w:val="left" w:leader="none"/>
        </w:tabs>
        <w:spacing w:line="304" w:lineRule="auto" w:before="24" w:after="0"/>
        <w:ind w:left="117" w:right="113" w:firstLine="440"/>
        <w:jc w:val="left"/>
        <w:rPr>
          <w:sz w:val="22"/>
        </w:rPr>
      </w:pPr>
      <w:r>
        <w:rPr>
          <w:color w:val="231F20"/>
          <w:spacing w:val="-2"/>
          <w:sz w:val="22"/>
        </w:rPr>
        <w:t>施工安全控制。审查承包人提出的安全技术措施、专项施工方案，并检查实施情况；检</w:t>
      </w:r>
      <w:r>
        <w:rPr>
          <w:color w:val="231F20"/>
          <w:spacing w:val="-7"/>
          <w:sz w:val="22"/>
        </w:rPr>
        <w:t>查防洪度汛措施落实情况；参与安全事故调查。</w:t>
      </w:r>
    </w:p>
    <w:p>
      <w:pPr>
        <w:pStyle w:val="ListParagraph"/>
        <w:numPr>
          <w:ilvl w:val="0"/>
          <w:numId w:val="8"/>
        </w:numPr>
        <w:tabs>
          <w:tab w:pos="885" w:val="left" w:leader="none"/>
        </w:tabs>
        <w:spacing w:line="240" w:lineRule="auto" w:before="21" w:after="0"/>
        <w:ind w:left="884" w:right="0" w:hanging="327"/>
        <w:jc w:val="left"/>
        <w:rPr>
          <w:sz w:val="22"/>
        </w:rPr>
      </w:pPr>
      <w:r>
        <w:rPr>
          <w:color w:val="231F20"/>
          <w:sz w:val="22"/>
        </w:rPr>
        <w:t>协调施工合同各方之间的关系。</w:t>
      </w:r>
    </w:p>
    <w:p>
      <w:pPr>
        <w:pStyle w:val="ListParagraph"/>
        <w:numPr>
          <w:ilvl w:val="0"/>
          <w:numId w:val="8"/>
        </w:numPr>
        <w:tabs>
          <w:tab w:pos="886" w:val="left" w:leader="none"/>
        </w:tabs>
        <w:spacing w:line="304" w:lineRule="auto" w:before="89" w:after="0"/>
        <w:ind w:left="117" w:right="125" w:firstLine="440"/>
        <w:jc w:val="left"/>
        <w:rPr>
          <w:sz w:val="22"/>
        </w:rPr>
      </w:pPr>
      <w:r>
        <w:rPr>
          <w:color w:val="231F20"/>
          <w:spacing w:val="-9"/>
          <w:sz w:val="22"/>
        </w:rPr>
        <w:t>按有关规定参加工程验收，负责完成监理资料的汇总、整理，协助委托人检查承包人的合</w:t>
      </w:r>
      <w:r>
        <w:rPr>
          <w:color w:val="231F20"/>
          <w:spacing w:val="-17"/>
          <w:sz w:val="22"/>
        </w:rPr>
        <w:t>同执行情况；做好验收的各项准备工作或者配合工作，提供工程监理资料，提交监理工作报告。</w:t>
      </w:r>
    </w:p>
    <w:p>
      <w:pPr>
        <w:pStyle w:val="ListParagraph"/>
        <w:numPr>
          <w:ilvl w:val="0"/>
          <w:numId w:val="8"/>
        </w:numPr>
        <w:tabs>
          <w:tab w:pos="886" w:val="left" w:leader="none"/>
        </w:tabs>
        <w:spacing w:line="304" w:lineRule="auto" w:before="20" w:after="0"/>
        <w:ind w:left="117" w:right="112" w:firstLine="440"/>
        <w:jc w:val="left"/>
        <w:rPr>
          <w:sz w:val="22"/>
        </w:rPr>
      </w:pPr>
      <w:r>
        <w:rPr>
          <w:color w:val="231F20"/>
          <w:sz w:val="22"/>
        </w:rPr>
        <w:t>档案管理。做好施工现场的监理记录与信息反馈，做好监理文档管理工作，合同期限届满时按照档案管理要求整理、归档并移交委托人。</w:t>
      </w:r>
    </w:p>
    <w:p>
      <w:pPr>
        <w:pStyle w:val="ListParagraph"/>
        <w:numPr>
          <w:ilvl w:val="0"/>
          <w:numId w:val="8"/>
        </w:numPr>
        <w:tabs>
          <w:tab w:pos="886" w:val="left" w:leader="none"/>
        </w:tabs>
        <w:spacing w:line="304" w:lineRule="auto" w:before="20" w:after="0"/>
        <w:ind w:left="117" w:right="108" w:firstLine="440"/>
        <w:jc w:val="left"/>
        <w:rPr>
          <w:sz w:val="22"/>
        </w:rPr>
      </w:pPr>
      <w:r>
        <w:rPr>
          <w:color w:val="231F20"/>
          <w:spacing w:val="0"/>
          <w:sz w:val="22"/>
        </w:rPr>
        <w:t>监督承包人执行保修期工作计划，检查和验收尾工项目，对已移交工程中出现的质量</w:t>
      </w:r>
      <w:r>
        <w:rPr>
          <w:color w:val="231F20"/>
          <w:sz w:val="22"/>
        </w:rPr>
        <w:t>缺陷等调查原因并提出处理意见。</w:t>
      </w:r>
    </w:p>
    <w:p>
      <w:pPr>
        <w:pStyle w:val="ListParagraph"/>
        <w:numPr>
          <w:ilvl w:val="0"/>
          <w:numId w:val="8"/>
        </w:numPr>
        <w:tabs>
          <w:tab w:pos="886" w:val="left" w:leader="none"/>
        </w:tabs>
        <w:spacing w:line="304" w:lineRule="auto" w:before="20" w:after="0"/>
        <w:ind w:left="117" w:right="108" w:firstLine="440"/>
        <w:jc w:val="left"/>
        <w:rPr>
          <w:sz w:val="22"/>
        </w:rPr>
      </w:pPr>
      <w:r>
        <w:rPr>
          <w:color w:val="231F20"/>
          <w:spacing w:val="0"/>
          <w:sz w:val="22"/>
        </w:rPr>
        <w:t>按照委托人签订的工程保险合同，做好施工现场工程保险合同的管理。协助委托人向</w:t>
      </w:r>
      <w:r>
        <w:rPr>
          <w:color w:val="231F20"/>
          <w:sz w:val="22"/>
        </w:rPr>
        <w:t>保险公司及时提供一切必要的材料和证据。</w:t>
      </w:r>
    </w:p>
    <w:p>
      <w:pPr>
        <w:pStyle w:val="ListParagraph"/>
        <w:numPr>
          <w:ilvl w:val="0"/>
          <w:numId w:val="8"/>
        </w:numPr>
        <w:tabs>
          <w:tab w:pos="885" w:val="left" w:leader="none"/>
        </w:tabs>
        <w:spacing w:line="240" w:lineRule="auto" w:before="20" w:after="0"/>
        <w:ind w:left="884" w:right="0" w:hanging="327"/>
        <w:jc w:val="left"/>
        <w:rPr>
          <w:sz w:val="22"/>
        </w:rPr>
      </w:pPr>
      <w:r>
        <w:rPr>
          <w:color w:val="231F20"/>
          <w:sz w:val="22"/>
        </w:rPr>
        <w:t>其他相关工作。</w:t>
      </w:r>
    </w:p>
    <w:sectPr>
      <w:pgSz w:w="11910" w:h="16840"/>
      <w:pgMar w:header="0" w:footer="832" w:top="1580" w:bottom="1020" w:left="130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楷体_GBK">
    <w:altName w:val="方正楷体_GBK"/>
    <w:charset w:val="86"/>
    <w:family w:val="script"/>
    <w:pitch w:val="fixed"/>
  </w:font>
  <w:font w:name="方正书宋_GBK">
    <w:altName w:val="方正书宋_GBK"/>
    <w:charset w:val="86"/>
    <w:family w:val="script"/>
    <w:pitch w:val="fixed"/>
  </w:font>
  <w:font w:name="方正小标宋_GBK">
    <w:altName w:val="方正小标宋_GBK"/>
    <w:charset w:val="86"/>
    <w:family w:val="script"/>
    <w:pitch w:val="fixed"/>
  </w:font>
  <w:font w:name="方正黑体_GBK">
    <w:altName w:val="方正黑体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512.409424pt;margin-top:789.265808pt;width:14pt;height:13.1pt;mso-position-horizontal-relative:page;mso-position-vertical-relative:page;z-index:-1652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68.866096pt;margin-top:789.265808pt;width:9pt;height:13.1pt;mso-position-horizontal-relative:page;mso-position-vertical-relative:page;z-index:-1650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69.866096pt;margin-top:789.265808pt;width:12pt;height:13.1pt;mso-position-horizontal-relative:page;mso-position-vertical-relative:page;z-index:-16480" type="#_x0000_t202" filled="false" stroked="false">
          <v:textbox inset="0,0,0,0">
            <w:txbxContent>
              <w:p>
                <w:pPr>
                  <w:spacing w:before="11"/>
                  <w:ind w:left="20" w:right="0" w:firstLine="0"/>
                  <w:jc w:val="left"/>
                  <w:rPr>
                    <w:rFonts w:ascii="Times New Roman"/>
                    <w:sz w:val="20"/>
                  </w:rPr>
                </w:pPr>
                <w:r>
                  <w:rPr>
                    <w:rFonts w:ascii="Times New Roman"/>
                    <w:color w:val="231F20"/>
                    <w:sz w:val="20"/>
                  </w:rPr>
                  <w:t>10</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512.780518pt;margin-top:789.265808pt;width:13.3pt;height:13.1pt;mso-position-horizontal-relative:page;mso-position-vertical-relative:page;z-index:-16456" type="#_x0000_t202" filled="false" stroked="false">
          <v:textbox inset="0,0,0,0">
            <w:txbxContent>
              <w:p>
                <w:pPr>
                  <w:spacing w:before="11"/>
                  <w:ind w:left="40" w:right="0" w:firstLine="0"/>
                  <w:jc w:val="left"/>
                  <w:rPr>
                    <w:rFonts w:ascii="Times New Roman"/>
                    <w:sz w:val="20"/>
                  </w:rPr>
                </w:pPr>
                <w:r>
                  <w:rPr>
                    <w:rFonts w:ascii="Times New Roman"/>
                    <w:color w:val="231F20"/>
                    <w:sz w:val="20"/>
                  </w:rPr>
                  <w:t>11</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68.866096pt;margin-top:789.265808pt;width:14pt;height:13.1pt;mso-position-horizontal-relative:page;mso-position-vertical-relative:page;z-index:-1643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12</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512.409424pt;margin-top:789.265808pt;width:14pt;height:13.1pt;mso-position-horizontal-relative:page;mso-position-vertical-relative:page;z-index:-1640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6">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5">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4">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55"/>
        <w:w w:val="100"/>
        <w:sz w:val="22"/>
        <w:szCs w:val="22"/>
      </w:rPr>
    </w:lvl>
    <w:lvl w:ilvl="1">
      <w:start w:val="0"/>
      <w:numFmt w:val="bullet"/>
      <w:lvlText w:val="•"/>
      <w:lvlJc w:val="left"/>
      <w:pPr>
        <w:ind w:left="1632" w:hanging="219"/>
      </w:pPr>
      <w:rPr>
        <w:rFonts w:hint="default"/>
      </w:rPr>
    </w:lvl>
    <w:lvl w:ilvl="2">
      <w:start w:val="0"/>
      <w:numFmt w:val="bullet"/>
      <w:lvlText w:val="•"/>
      <w:lvlJc w:val="left"/>
      <w:pPr>
        <w:ind w:left="2485" w:hanging="219"/>
      </w:pPr>
      <w:rPr>
        <w:rFonts w:hint="default"/>
      </w:rPr>
    </w:lvl>
    <w:lvl w:ilvl="3">
      <w:start w:val="0"/>
      <w:numFmt w:val="bullet"/>
      <w:lvlText w:val="•"/>
      <w:lvlJc w:val="left"/>
      <w:pPr>
        <w:ind w:left="3337" w:hanging="219"/>
      </w:pPr>
      <w:rPr>
        <w:rFonts w:hint="default"/>
      </w:rPr>
    </w:lvl>
    <w:lvl w:ilvl="4">
      <w:start w:val="0"/>
      <w:numFmt w:val="bullet"/>
      <w:lvlText w:val="•"/>
      <w:lvlJc w:val="left"/>
      <w:pPr>
        <w:ind w:left="4190" w:hanging="219"/>
      </w:pPr>
      <w:rPr>
        <w:rFonts w:hint="default"/>
      </w:rPr>
    </w:lvl>
    <w:lvl w:ilvl="5">
      <w:start w:val="0"/>
      <w:numFmt w:val="bullet"/>
      <w:lvlText w:val="•"/>
      <w:lvlJc w:val="left"/>
      <w:pPr>
        <w:ind w:left="5042" w:hanging="219"/>
      </w:pPr>
      <w:rPr>
        <w:rFonts w:hint="default"/>
      </w:rPr>
    </w:lvl>
    <w:lvl w:ilvl="6">
      <w:start w:val="0"/>
      <w:numFmt w:val="bullet"/>
      <w:lvlText w:val="•"/>
      <w:lvlJc w:val="left"/>
      <w:pPr>
        <w:ind w:left="5895" w:hanging="219"/>
      </w:pPr>
      <w:rPr>
        <w:rFonts w:hint="default"/>
      </w:rPr>
    </w:lvl>
    <w:lvl w:ilvl="7">
      <w:start w:val="0"/>
      <w:numFmt w:val="bullet"/>
      <w:lvlText w:val="•"/>
      <w:lvlJc w:val="left"/>
      <w:pPr>
        <w:ind w:left="6747" w:hanging="219"/>
      </w:pPr>
      <w:rPr>
        <w:rFonts w:hint="default"/>
      </w:rPr>
    </w:lvl>
    <w:lvl w:ilvl="8">
      <w:start w:val="0"/>
      <w:numFmt w:val="bullet"/>
      <w:lvlText w:val="•"/>
      <w:lvlJc w:val="left"/>
      <w:pPr>
        <w:ind w:left="7600" w:hanging="219"/>
      </w:pPr>
      <w:rPr>
        <w:rFonts w:hint="default"/>
      </w:rPr>
    </w:lvl>
  </w:abstractNum>
  <w:abstractNum w:abstractNumId="3">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55"/>
        <w:w w:val="100"/>
        <w:sz w:val="22"/>
        <w:szCs w:val="22"/>
      </w:rPr>
    </w:lvl>
    <w:lvl w:ilvl="1">
      <w:start w:val="0"/>
      <w:numFmt w:val="bullet"/>
      <w:lvlText w:val="•"/>
      <w:lvlJc w:val="left"/>
      <w:pPr>
        <w:ind w:left="1632" w:hanging="219"/>
      </w:pPr>
      <w:rPr>
        <w:rFonts w:hint="default"/>
      </w:rPr>
    </w:lvl>
    <w:lvl w:ilvl="2">
      <w:start w:val="0"/>
      <w:numFmt w:val="bullet"/>
      <w:lvlText w:val="•"/>
      <w:lvlJc w:val="left"/>
      <w:pPr>
        <w:ind w:left="2485" w:hanging="219"/>
      </w:pPr>
      <w:rPr>
        <w:rFonts w:hint="default"/>
      </w:rPr>
    </w:lvl>
    <w:lvl w:ilvl="3">
      <w:start w:val="0"/>
      <w:numFmt w:val="bullet"/>
      <w:lvlText w:val="•"/>
      <w:lvlJc w:val="left"/>
      <w:pPr>
        <w:ind w:left="3337" w:hanging="219"/>
      </w:pPr>
      <w:rPr>
        <w:rFonts w:hint="default"/>
      </w:rPr>
    </w:lvl>
    <w:lvl w:ilvl="4">
      <w:start w:val="0"/>
      <w:numFmt w:val="bullet"/>
      <w:lvlText w:val="•"/>
      <w:lvlJc w:val="left"/>
      <w:pPr>
        <w:ind w:left="4190" w:hanging="219"/>
      </w:pPr>
      <w:rPr>
        <w:rFonts w:hint="default"/>
      </w:rPr>
    </w:lvl>
    <w:lvl w:ilvl="5">
      <w:start w:val="0"/>
      <w:numFmt w:val="bullet"/>
      <w:lvlText w:val="•"/>
      <w:lvlJc w:val="left"/>
      <w:pPr>
        <w:ind w:left="5042" w:hanging="219"/>
      </w:pPr>
      <w:rPr>
        <w:rFonts w:hint="default"/>
      </w:rPr>
    </w:lvl>
    <w:lvl w:ilvl="6">
      <w:start w:val="0"/>
      <w:numFmt w:val="bullet"/>
      <w:lvlText w:val="•"/>
      <w:lvlJc w:val="left"/>
      <w:pPr>
        <w:ind w:left="5895" w:hanging="219"/>
      </w:pPr>
      <w:rPr>
        <w:rFonts w:hint="default"/>
      </w:rPr>
    </w:lvl>
    <w:lvl w:ilvl="7">
      <w:start w:val="0"/>
      <w:numFmt w:val="bullet"/>
      <w:lvlText w:val="•"/>
      <w:lvlJc w:val="left"/>
      <w:pPr>
        <w:ind w:left="6747" w:hanging="219"/>
      </w:pPr>
      <w:rPr>
        <w:rFonts w:hint="default"/>
      </w:rPr>
    </w:lvl>
    <w:lvl w:ilvl="8">
      <w:start w:val="0"/>
      <w:numFmt w:val="bullet"/>
      <w:lvlText w:val="•"/>
      <w:lvlJc w:val="left"/>
      <w:pPr>
        <w:ind w:left="7600" w:hanging="219"/>
      </w:pPr>
      <w:rPr>
        <w:rFonts w:hint="default"/>
      </w:rPr>
    </w:lvl>
  </w:abstractNum>
  <w:abstractNum w:abstractNumId="2">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56"/>
        <w:w w:val="100"/>
        <w:sz w:val="22"/>
        <w:szCs w:val="22"/>
      </w:rPr>
    </w:lvl>
    <w:lvl w:ilvl="1">
      <w:start w:val="0"/>
      <w:numFmt w:val="bullet"/>
      <w:lvlText w:val="•"/>
      <w:lvlJc w:val="left"/>
      <w:pPr>
        <w:ind w:left="1632" w:hanging="219"/>
      </w:pPr>
      <w:rPr>
        <w:rFonts w:hint="default"/>
      </w:rPr>
    </w:lvl>
    <w:lvl w:ilvl="2">
      <w:start w:val="0"/>
      <w:numFmt w:val="bullet"/>
      <w:lvlText w:val="•"/>
      <w:lvlJc w:val="left"/>
      <w:pPr>
        <w:ind w:left="2485" w:hanging="219"/>
      </w:pPr>
      <w:rPr>
        <w:rFonts w:hint="default"/>
      </w:rPr>
    </w:lvl>
    <w:lvl w:ilvl="3">
      <w:start w:val="0"/>
      <w:numFmt w:val="bullet"/>
      <w:lvlText w:val="•"/>
      <w:lvlJc w:val="left"/>
      <w:pPr>
        <w:ind w:left="3337" w:hanging="219"/>
      </w:pPr>
      <w:rPr>
        <w:rFonts w:hint="default"/>
      </w:rPr>
    </w:lvl>
    <w:lvl w:ilvl="4">
      <w:start w:val="0"/>
      <w:numFmt w:val="bullet"/>
      <w:lvlText w:val="•"/>
      <w:lvlJc w:val="left"/>
      <w:pPr>
        <w:ind w:left="4190" w:hanging="219"/>
      </w:pPr>
      <w:rPr>
        <w:rFonts w:hint="default"/>
      </w:rPr>
    </w:lvl>
    <w:lvl w:ilvl="5">
      <w:start w:val="0"/>
      <w:numFmt w:val="bullet"/>
      <w:lvlText w:val="•"/>
      <w:lvlJc w:val="left"/>
      <w:pPr>
        <w:ind w:left="5042" w:hanging="219"/>
      </w:pPr>
      <w:rPr>
        <w:rFonts w:hint="default"/>
      </w:rPr>
    </w:lvl>
    <w:lvl w:ilvl="6">
      <w:start w:val="0"/>
      <w:numFmt w:val="bullet"/>
      <w:lvlText w:val="•"/>
      <w:lvlJc w:val="left"/>
      <w:pPr>
        <w:ind w:left="5895" w:hanging="219"/>
      </w:pPr>
      <w:rPr>
        <w:rFonts w:hint="default"/>
      </w:rPr>
    </w:lvl>
    <w:lvl w:ilvl="7">
      <w:start w:val="0"/>
      <w:numFmt w:val="bullet"/>
      <w:lvlText w:val="•"/>
      <w:lvlJc w:val="left"/>
      <w:pPr>
        <w:ind w:left="6747" w:hanging="219"/>
      </w:pPr>
      <w:rPr>
        <w:rFonts w:hint="default"/>
      </w:rPr>
    </w:lvl>
    <w:lvl w:ilvl="8">
      <w:start w:val="0"/>
      <w:numFmt w:val="bullet"/>
      <w:lvlText w:val="•"/>
      <w:lvlJc w:val="left"/>
      <w:pPr>
        <w:ind w:left="7600" w:hanging="219"/>
      </w:pPr>
      <w:rPr>
        <w:rFonts w:hint="default"/>
      </w:rPr>
    </w:lvl>
  </w:abstractNum>
  <w:abstractNum w:abstractNumId="1">
    <w:multiLevelType w:val="hybridMultilevel"/>
    <w:lvl w:ilvl="0">
      <w:start w:val="1"/>
      <w:numFmt w:val="decimal"/>
      <w:lvlText w:val="%1."/>
      <w:lvlJc w:val="left"/>
      <w:pPr>
        <w:ind w:left="55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434" w:hanging="219"/>
      </w:pPr>
      <w:rPr>
        <w:rFonts w:hint="default"/>
      </w:rPr>
    </w:lvl>
    <w:lvl w:ilvl="2">
      <w:start w:val="0"/>
      <w:numFmt w:val="bullet"/>
      <w:lvlText w:val="•"/>
      <w:lvlJc w:val="left"/>
      <w:pPr>
        <w:ind w:left="2309" w:hanging="219"/>
      </w:pPr>
      <w:rPr>
        <w:rFonts w:hint="default"/>
      </w:rPr>
    </w:lvl>
    <w:lvl w:ilvl="3">
      <w:start w:val="0"/>
      <w:numFmt w:val="bullet"/>
      <w:lvlText w:val="•"/>
      <w:lvlJc w:val="left"/>
      <w:pPr>
        <w:ind w:left="3183" w:hanging="219"/>
      </w:pPr>
      <w:rPr>
        <w:rFonts w:hint="default"/>
      </w:rPr>
    </w:lvl>
    <w:lvl w:ilvl="4">
      <w:start w:val="0"/>
      <w:numFmt w:val="bullet"/>
      <w:lvlText w:val="•"/>
      <w:lvlJc w:val="left"/>
      <w:pPr>
        <w:ind w:left="4058" w:hanging="219"/>
      </w:pPr>
      <w:rPr>
        <w:rFonts w:hint="default"/>
      </w:rPr>
    </w:lvl>
    <w:lvl w:ilvl="5">
      <w:start w:val="0"/>
      <w:numFmt w:val="bullet"/>
      <w:lvlText w:val="•"/>
      <w:lvlJc w:val="left"/>
      <w:pPr>
        <w:ind w:left="4932" w:hanging="219"/>
      </w:pPr>
      <w:rPr>
        <w:rFonts w:hint="default"/>
      </w:rPr>
    </w:lvl>
    <w:lvl w:ilvl="6">
      <w:start w:val="0"/>
      <w:numFmt w:val="bullet"/>
      <w:lvlText w:val="•"/>
      <w:lvlJc w:val="left"/>
      <w:pPr>
        <w:ind w:left="5807" w:hanging="219"/>
      </w:pPr>
      <w:rPr>
        <w:rFonts w:hint="default"/>
      </w:rPr>
    </w:lvl>
    <w:lvl w:ilvl="7">
      <w:start w:val="0"/>
      <w:numFmt w:val="bullet"/>
      <w:lvlText w:val="•"/>
      <w:lvlJc w:val="left"/>
      <w:pPr>
        <w:ind w:left="6681" w:hanging="219"/>
      </w:pPr>
      <w:rPr>
        <w:rFonts w:hint="default"/>
      </w:rPr>
    </w:lvl>
    <w:lvl w:ilvl="8">
      <w:start w:val="0"/>
      <w:numFmt w:val="bullet"/>
      <w:lvlText w:val="•"/>
      <w:lvlJc w:val="left"/>
      <w:pPr>
        <w:ind w:left="7556" w:hanging="219"/>
      </w:pPr>
      <w:rPr>
        <w:rFonts w:hint="default"/>
      </w:rPr>
    </w:lvl>
  </w:abstractNum>
  <w:abstractNum w:abstractNumId="0">
    <w:multiLevelType w:val="hybridMultilevel"/>
    <w:lvl w:ilvl="0">
      <w:start w:val="1"/>
      <w:numFmt w:val="decimal"/>
      <w:lvlText w:val="%1."/>
      <w:lvlJc w:val="left"/>
      <w:pPr>
        <w:ind w:left="55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434" w:hanging="219"/>
      </w:pPr>
      <w:rPr>
        <w:rFonts w:hint="default"/>
      </w:rPr>
    </w:lvl>
    <w:lvl w:ilvl="2">
      <w:start w:val="0"/>
      <w:numFmt w:val="bullet"/>
      <w:lvlText w:val="•"/>
      <w:lvlJc w:val="left"/>
      <w:pPr>
        <w:ind w:left="2309" w:hanging="219"/>
      </w:pPr>
      <w:rPr>
        <w:rFonts w:hint="default"/>
      </w:rPr>
    </w:lvl>
    <w:lvl w:ilvl="3">
      <w:start w:val="0"/>
      <w:numFmt w:val="bullet"/>
      <w:lvlText w:val="•"/>
      <w:lvlJc w:val="left"/>
      <w:pPr>
        <w:ind w:left="3183" w:hanging="219"/>
      </w:pPr>
      <w:rPr>
        <w:rFonts w:hint="default"/>
      </w:rPr>
    </w:lvl>
    <w:lvl w:ilvl="4">
      <w:start w:val="0"/>
      <w:numFmt w:val="bullet"/>
      <w:lvlText w:val="•"/>
      <w:lvlJc w:val="left"/>
      <w:pPr>
        <w:ind w:left="4058" w:hanging="219"/>
      </w:pPr>
      <w:rPr>
        <w:rFonts w:hint="default"/>
      </w:rPr>
    </w:lvl>
    <w:lvl w:ilvl="5">
      <w:start w:val="0"/>
      <w:numFmt w:val="bullet"/>
      <w:lvlText w:val="•"/>
      <w:lvlJc w:val="left"/>
      <w:pPr>
        <w:ind w:left="4932" w:hanging="219"/>
      </w:pPr>
      <w:rPr>
        <w:rFonts w:hint="default"/>
      </w:rPr>
    </w:lvl>
    <w:lvl w:ilvl="6">
      <w:start w:val="0"/>
      <w:numFmt w:val="bullet"/>
      <w:lvlText w:val="•"/>
      <w:lvlJc w:val="left"/>
      <w:pPr>
        <w:ind w:left="5807" w:hanging="219"/>
      </w:pPr>
      <w:rPr>
        <w:rFonts w:hint="default"/>
      </w:rPr>
    </w:lvl>
    <w:lvl w:ilvl="7">
      <w:start w:val="0"/>
      <w:numFmt w:val="bullet"/>
      <w:lvlText w:val="•"/>
      <w:lvlJc w:val="left"/>
      <w:pPr>
        <w:ind w:left="6681" w:hanging="219"/>
      </w:pPr>
      <w:rPr>
        <w:rFonts w:hint="default"/>
      </w:rPr>
    </w:lvl>
    <w:lvl w:ilvl="8">
      <w:start w:val="0"/>
      <w:numFmt w:val="bullet"/>
      <w:lvlText w:val="•"/>
      <w:lvlJc w:val="left"/>
      <w:pPr>
        <w:ind w:left="7556" w:hanging="219"/>
      </w:pPr>
      <w:rPr>
        <w:rFonts w:hint="default"/>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ind w:left="557"/>
    </w:pPr>
    <w:rPr>
      <w:rFonts w:ascii="方正书宋_GBK" w:hAnsi="方正书宋_GBK" w:eastAsia="方正书宋_GBK" w:cs="方正书宋_GBK"/>
      <w:sz w:val="22"/>
      <w:szCs w:val="22"/>
    </w:rPr>
  </w:style>
  <w:style w:styleId="Heading1" w:type="paragraph">
    <w:name w:val="Heading 1"/>
    <w:basedOn w:val="Normal"/>
    <w:uiPriority w:val="1"/>
    <w:qFormat/>
    <w:pPr>
      <w:spacing w:before="154"/>
      <w:jc w:val="center"/>
      <w:outlineLvl w:val="1"/>
    </w:pPr>
    <w:rPr>
      <w:rFonts w:ascii="方正黑体_GBK" w:hAnsi="方正黑体_GBK" w:eastAsia="方正黑体_GBK" w:cs="方正黑体_GBK"/>
      <w:sz w:val="28"/>
      <w:szCs w:val="28"/>
    </w:rPr>
  </w:style>
  <w:style w:styleId="Heading2" w:type="paragraph">
    <w:name w:val="Heading 2"/>
    <w:basedOn w:val="Normal"/>
    <w:uiPriority w:val="1"/>
    <w:qFormat/>
    <w:pPr>
      <w:spacing w:before="171"/>
      <w:jc w:val="center"/>
      <w:outlineLvl w:val="2"/>
    </w:pPr>
    <w:rPr>
      <w:rFonts w:ascii="方正小标宋_GBK" w:hAnsi="方正小标宋_GBK" w:eastAsia="方正小标宋_GBK" w:cs="方正小标宋_GBK"/>
      <w:sz w:val="24"/>
      <w:szCs w:val="24"/>
    </w:rPr>
  </w:style>
  <w:style w:styleId="ListParagraph" w:type="paragraph">
    <w:name w:val="List Paragraph"/>
    <w:basedOn w:val="Normal"/>
    <w:uiPriority w:val="1"/>
    <w:qFormat/>
    <w:pPr>
      <w:spacing w:before="89"/>
      <w:ind w:left="775" w:hanging="218"/>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2021-12-01T23:29:50Z</dcterms:created>
  <dcterms:modified xsi:type="dcterms:W3CDTF">2021-12-01T23:29:50Z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